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155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Mara Rubia Gonçalves E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06/11/1962,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Rubens Gonçalves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Marlene F. Gonçalves,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Dom Lara 31 Apto 63,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3235-7217,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99762-1476,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155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Mara Rubia Gonçalves E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Mara Rubia Gonçalves E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Bancária,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1.273.773-0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057.231.818-90,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Dom Lara 31 Apto 63,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