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307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12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Quarta–feiras,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14:50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Felipe Barbosa Julio.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kaema03@yahoo.com.br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Beatriz De Pinho Vaz,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17/10/2000,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Rodrigo Dos Santos Vaz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Sirlene Sousa De Pinho,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Enguaguaçú 127 Apto. 22,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Ponta Da Praia,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11035-071,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3261-5016,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307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12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Beatriz De Pinho Vaz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Maria Leonilde Almeida Dos Santos Vaz,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Feirante,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53.271.360-6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133.876.708-93,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Enguaguaçú 127 Apto. 22,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Ponta Da Praia,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11035-071,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