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357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Bateria: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Ronaldo José De Barros Freitas (Xima).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corposclinica@hotmail.com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Alejandro De Oliveira Seixas,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08/08/2008,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Ricardo Seixas 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Nilene Janini De Oliveira Seixas,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Av.Epitácio Pessoa 131 Apto. 192,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11030-101,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2202-1962,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99708-0393,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BATERIA.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357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Alejandro De Oliveira Seixas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Bateria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Ricardo Seixas,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Médico,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11.111.111-1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043.123.268-78,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Av.Epitácio Pessoa 131 Apto. 192,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11030-101,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