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506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samanta3636@gmail.com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Raquel Rodrigues Pereira De Oliveira,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09/09/2001,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Marcos Gomes De Oliveira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Samanta Rodrigues Pereira De Oliveira,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Bernardino De Campos  110,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Belmiro,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3041-1283,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98812-9510,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506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73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Raquel Rodrigues Pereira De Oliveira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Samanta Rodrigues Pereira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Doceira,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27.235.653-0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261.485.418-23,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Bernardino De Campos  110,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Belmiro,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