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519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89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Musicalização Infantil: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Cassiane Domingues Liste.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ariella_damasceno@hotmail.com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Manuela Damasceno De Pinho,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11/03/2011,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Bruno Luiz Freire De Pinho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Ariella Corrêa Damasceno De Pinho,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Onze De Junho 131 Ap 82 B,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Itararé,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11320-160,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99184-1804,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MUSICALIZAÇÃO INFANTIL.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519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89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Manuela Damasceno De Pinho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Musicalização Infantil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Ariella Corrêa Damasceno,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32.915.834-X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379.101.198-79,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Onze De Junho 131 Ap 82 B,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Itararé,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11320-160,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