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527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99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indira.souza1@gmail.com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Luciano De Souza Ienny,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13/08/2006,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Luciano Rene Ienny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Indira Coelho De Souza,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Saturnino De Brito 203 Casa 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Marapé,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11070-000,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3877-4481,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99623-1315,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527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99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Luciano De Souza Ienny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Indira Coelho De Souza,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Administradora,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2.095.234-7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133.912.188-35,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Saturnino De Brito 203 Casa 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Marapé,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11070-000,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