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vulgostavo@gmail.com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Gustavo Alencar Baptista,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28/06/1996,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Antonio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Patricia Alencar De Oliveira Baptista,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Faria Lima Nº 271 Bloco 13 Apto 14,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Atlântica,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11730-000,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Mongaguá,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3507-5222,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99661-3119,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Gustavo Alencar Baptista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Gustavo Alencar Baptista,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Autônomo,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46.105.469-3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406.865.208-23,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Faria Lima Nº 271 Bloco 13 Apto 14,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Atlântica,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11730-000,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Mongaguá,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