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Raphael Fernandes Lopes Farias.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Sexta–feiras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Raphael Fernandes Lopes Farias.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andreiamc2@gmail.com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Andreia Caitano Maceio De Carvalho,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04/12/1977,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Sebastião Caitano Roberto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Tereza Andrade Caitano Roberto,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Primeiro De Junho Nº 220,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Sitio Paecara,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11460-240,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Guarujá,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3342-1186,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99705-4446,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564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139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Andreia Caitano Maceio De Carvalho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Andreia Caitano Maceio De Carvalho,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3.267.575-1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283.451.538-79,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Primeiro De Junho Nº 220,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Sitio Paecara,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11460-240,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Guarujá,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