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Isabele Lisandra Parreira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22/10/1972,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Francisco Guedes Miranda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Alice Parreira Miranda,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98127-6294,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141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Isabele Lisandra Parreira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