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Lisandra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19/09/2011,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Cristiano De Sousa Duarte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Isabele Lisandra Parreira Miranda Duarte,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98183-2282,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169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Lisandra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