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camila.ccandi@gmail.com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Camila Rafanini Candido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13/08/1995,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Cesar Candido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Alexandra Rafanini Candido,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Afonso Pena 446 Apto 52,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3349-7280,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98119-7440,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579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158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Camila Rafanini Candido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Camila Rafanini Candido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Consultora De Vendas,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42.823.989-4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411.298.878-80,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Afonso Pena 446 Apto 52,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