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roquebelmont@gmail.com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José Roque Silva Araujo,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22/09/1950,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Bernardo Dutra De Araújo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Darcilia Da Silva Araujo,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Avenida Presidente Kenndy 6057,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Vila Tupi,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11703-207,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Praia Grande 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3495-5648,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(98) 83575-18,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580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160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José Roque Silva Araujo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José Roque Silva Araujo,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903.588.753-9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201.997.249-20,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Avenida Presidente Kenndy 6057,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Vila Tupi,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11703-207,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Praia Grande 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