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582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162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Violino: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Segundas–feiras,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14:00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Lucas Moraes De Souza.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eligomes98@gmail.com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Elizabeth De Souza Gomes,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17/11/1960,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Agostinho Gomes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Terezinha De Souza Gomes,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Torres Homen 540 Apto 53,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Aparecida,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11025-021,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3227-3532,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99716-1834,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VIOLINO.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582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162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Elizabeth De Souza Gomes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Violino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Elizabeth De Souza Gomes,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Aposentada,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13.159.402-3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028.452.628-25,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Torres Homen 540 Apto 53,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Aparecida,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11025-021,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