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180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Guitarra: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sandrassil77@outlook.com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Sandra Maria Da Silva E Silva,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28/04/1997,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José Neto Da Silva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Francisca Vieira Da Silva E Silva,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Av. Enseada 4 Nº 166,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Jd Rafael,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11250-000,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Bertioga,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(11) 99790-6115,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GUITARRA.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599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180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Sandra Maria Da Silva E Silva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Guitarra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Sandra Maria Da Silva E Silva,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Musicista,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27.778.816-X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259.822.588-06,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Av. Enseada 4 Nº 166,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Jd Rafael,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11250-000,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Bertioga,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