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307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74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Bateria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Sexta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10:40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11:30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Marcelo Henrique Da Silva Reis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Quarta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18:10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19:00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Norma Dias Cabral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@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Beatriz De Pinho Vaz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17/10/2000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Rodrigo Dos Santos Vaz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Sirlene Sousa De Pinho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Rua Enguaguaçú 127 Apto. 22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Ponta Da Praia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11035-071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3261-5016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BATERIA</w:t>
      </w:r>
      <w:bookmarkStart w:id="23" w:name="curso_nome2"/>
      <w:bookmarkEnd w:id="23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R$ 1.420,00</w:t>
      </w:r>
      <w:bookmarkStart w:id="24" w:name="valor_total"/>
      <w:bookmarkEnd w:id="24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4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bookmarkStart w:id="26" w:name="_GoBack"/>
      <w:r w:rsidR="008557BA" w:rsidRPr="00C12AC2">
        <w:rPr>
          <w:b/>
          <w:sz w:val="20"/>
          <w:szCs w:val="20"/>
        </w:rPr>
        <w:t>CLÁUSULA VIGÉSIMA TERCEIRA</w:t>
      </w:r>
      <w:bookmarkEnd w:id="26"/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30 de Setembro de 2016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307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74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Beatriz De Pinho Vaz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Bateria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Maria Leonilde Almeida Dos Santos Vaz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Do Lar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53.271.360-6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133.876.708-93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Rua Enguaguaçú 127 Apto. 22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Ponta Da Praia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11035-071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R$ 1.420,00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3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SETEMBRO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2016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2016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30 de Setembro de 2016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9B" w:rsidRDefault="00514F9B" w:rsidP="007C5F09">
      <w:r>
        <w:separator/>
      </w:r>
    </w:p>
  </w:endnote>
  <w:endnote w:type="continuationSeparator" w:id="0">
    <w:p w:rsidR="00514F9B" w:rsidRDefault="00514F9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12AC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12AC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9B" w:rsidRDefault="00514F9B" w:rsidP="007C5F09">
      <w:r>
        <w:separator/>
      </w:r>
    </w:p>
  </w:footnote>
  <w:footnote w:type="continuationSeparator" w:id="0">
    <w:p w:rsidR="00514F9B" w:rsidRDefault="00514F9B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10A0B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2AC2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8A2F1-F8C1-4431-9103-E98A8B1A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2690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4</cp:revision>
  <cp:lastPrinted>2013-11-29T21:46:00Z</cp:lastPrinted>
  <dcterms:created xsi:type="dcterms:W3CDTF">2016-02-03T22:18:00Z</dcterms:created>
  <dcterms:modified xsi:type="dcterms:W3CDTF">2016-02-03T22:23:00Z</dcterms:modified>
</cp:coreProperties>
</file>