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0"/>
        <w:jc w:val="center"/>
      </w:pPr>
      <w:r>
        <w:rPr>
          <w:rFonts w:ascii="Times New Roman" w:cs="Times New Roman" w:eastAsia="Times New Roman" w:hAnsi="Times New Roman"/>
          <w:b/>
          <w:bCs/>
          <w:color w:val="333333"/>
          <w:sz w:val="22"/>
          <w:szCs w:val="22"/>
        </w:rPr>
        <w:t xml:space="preserve">UNIVERSIDADE ESTADUAL PAULISTA</w:t>
      </w:r>
    </w:p>
    <w:p>
      <w:pPr>
        <w:spacing w:after="0"/>
        <w:jc w:val="center"/>
      </w:pPr>
      <w:r>
        <w:rPr>
          <w:rFonts w:ascii="Times New Roman" w:cs="Times New Roman" w:eastAsia="Times New Roman" w:hAnsi="Times New Roman"/>
          <w:color w:val="333333"/>
          <w:sz w:val="22"/>
          <w:szCs w:val="22"/>
        </w:rPr>
        <w:t xml:space="preserve">INSTITUTO DE GEOCIÊNCIAS E CIÊNCIAS EXATAS</w:t>
      </w:r>
    </w:p>
    <w:p>
      <w:pPr>
        <w:spacing w:after="0"/>
        <w:jc w:val="center"/>
      </w:pPr>
      <w:r>
        <w:rPr>
          <w:rFonts w:ascii="Times New Roman" w:cs="Times New Roman" w:eastAsia="Times New Roman" w:hAnsi="Times New Roman"/>
          <w:color w:val="333333"/>
          <w:sz w:val="22"/>
          <w:szCs w:val="22"/>
        </w:rPr>
        <w:t xml:space="preserve">Departamento de Geografia e Planejamento Ambiental — DGPA</w:t>
      </w:r>
    </w:p>
    <w:p>
      <w:pPr>
        <w:spacing w:after="600" w:before="0"/>
      </w:pPr>
    </w:p>
    <w:p>
      <w:pPr>
        <w:pBdr>
          <w:bottom w:val="single" w:color="1F3864" w:sz="8" w:space="8"/>
        </w:pBdr>
        <w:spacing w:after="120"/>
        <w:jc w:val="center"/>
      </w:pPr>
      <w:r>
        <w:rPr>
          <w:rFonts w:ascii="Times New Roman" w:cs="Times New Roman" w:eastAsia="Times New Roman" w:hAnsi="Times New Roman"/>
          <w:b/>
          <w:bCs/>
          <w:color w:val="1F3864"/>
          <w:sz w:val="40"/>
          <w:szCs w:val="40"/>
        </w:rPr>
        <w:t xml:space="preserve">AnP — Análise da Paisagem</w:t>
      </w:r>
    </w:p>
    <w:p>
      <w:pPr>
        <w:spacing w:after="120" w:before="0"/>
      </w:pPr>
    </w:p>
    <w:p>
      <w:pPr>
        <w:spacing w:after="60"/>
        <w:jc w:val="center"/>
      </w:pPr>
      <w:r>
        <w:rPr>
          <w:rFonts w:ascii="Times New Roman" w:cs="Times New Roman" w:eastAsia="Times New Roman" w:hAnsi="Times New Roman"/>
          <w:b/>
          <w:bCs/>
          <w:sz w:val="28"/>
          <w:szCs w:val="28"/>
        </w:rPr>
        <w:t xml:space="preserve">DOCUMENTAÇÃO TÉCNICA</w:t>
      </w:r>
    </w:p>
    <w:p>
      <w:pPr>
        <w:spacing w:after="60"/>
        <w:jc w:val="center"/>
      </w:pPr>
      <w:r>
        <w:rPr>
          <w:rFonts w:ascii="Times New Roman" w:cs="Times New Roman" w:eastAsia="Times New Roman" w:hAnsi="Times New Roman"/>
          <w:color w:val="555555"/>
          <w:sz w:val="22"/>
          <w:szCs w:val="22"/>
        </w:rPr>
        <w:t xml:space="preserve">Módulo I: Monitoria de Cobertura da Terra (v1.1)  |  Módulo II: Fragmentação e Conectividade da Paisagem (v1.0)</w:t>
      </w:r>
    </w:p>
    <w:p>
      <w:pPr>
        <w:spacing w:after="600" w:before="0"/>
      </w:pPr>
    </w:p>
    <w:p>
      <w:pPr>
        <w:spacing w:after="40"/>
        <w:jc w:val="center"/>
      </w:pPr>
      <w:r>
        <w:rPr>
          <w:rFonts w:ascii="Times New Roman" w:cs="Times New Roman" w:eastAsia="Times New Roman" w:hAnsi="Times New Roman"/>
          <w:b/>
          <w:bCs/>
          <w:sz w:val="24"/>
          <w:szCs w:val="24"/>
        </w:rPr>
        <w:t xml:space="preserve">Prof. Dr. Rodrigo Silva Lemos</w:t>
      </w:r>
    </w:p>
    <w:p>
      <w:pPr>
        <w:spacing w:after="40"/>
        <w:jc w:val="center"/>
      </w:pPr>
      <w:r>
        <w:rPr>
          <w:rFonts w:ascii="Times New Roman" w:cs="Times New Roman" w:eastAsia="Times New Roman" w:hAnsi="Times New Roman"/>
          <w:sz w:val="22"/>
          <w:szCs w:val="22"/>
        </w:rPr>
        <w:t xml:space="preserve">Grupo de Pesquisa: Planejamento Ambiental e Dinâmicas da Paisagem</w:t>
      </w:r>
    </w:p>
    <w:p>
      <w:pPr>
        <w:spacing w:after="40"/>
        <w:jc w:val="center"/>
      </w:pPr>
      <w:r>
        <w:rPr>
          <w:rFonts w:ascii="Times New Roman" w:cs="Times New Roman" w:eastAsia="Times New Roman" w:hAnsi="Times New Roman"/>
          <w:sz w:val="22"/>
          <w:szCs w:val="22"/>
        </w:rPr>
        <w:t xml:space="preserve">rodrigo.s.lemos@unesp.br  |  DGPA/IGCE — Unesp Rio Claro</w:t>
      </w:r>
    </w:p>
    <w:p>
      <w:pPr>
        <w:spacing w:after="400" w:before="0"/>
      </w:pPr>
    </w:p>
    <w:p>
      <w:pPr>
        <w:jc w:val="center"/>
      </w:pPr>
      <w:r>
        <w:rPr>
          <w:rFonts w:ascii="Times New Roman" w:cs="Times New Roman" w:eastAsia="Times New Roman" w:hAnsi="Times New Roman"/>
          <w:sz w:val="22"/>
          <w:szCs w:val="22"/>
        </w:rPr>
        <w:t xml:space="preserve">Rio Claro, SP  —  2025</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1  APRESENTAÇÃO</w:t>
      </w:r>
    </w:p>
    <w:p>
      <w:pPr>
        <w:spacing w:after="160" w:before="0" w:line="360"/>
        <w:ind w:firstLine="709"/>
        <w:jc w:val="both"/>
      </w:pPr>
      <w:r>
        <w:rPr>
          <w:rFonts w:ascii="Times New Roman" w:cs="Times New Roman" w:eastAsia="Times New Roman" w:hAnsi="Times New Roman"/>
          <w:b w:val="false"/>
          <w:bCs w:val="false"/>
          <w:sz w:val="24"/>
          <w:szCs w:val="24"/>
        </w:rPr>
        <w:t xml:space="preserve">O conjunto de plugins AnP — Análise da Paisagem é uma ferramenta computacional desenvolvida para o ambiente do Sistema de Informações Geográficas QGIS (versão 3.16 ou superior), destinada à análise quantitativa de cobertura e uso da terra e à caracterização estrutural de paisagens naturais fragmentadas. Os dois módulos que compõem o AnP foram desenvolvidos pelo Grupo de Pesquisa Planejamento Ambiental e Dinâmicas da Paisagem, vinculado ao Departamento de Geografia e Planejamento Ambiental do Instituto de Geociências e Ciências Exatas da Universidade Estadual Paulista (DGPA/IGCE — Unesp Rio Claro), como ferramenta de suporte a pesquisas sobre dinâmicas da paisagem em áreas protegidas e regiões metropolitanas do Brasil.</w:t>
      </w:r>
    </w:p>
    <w:p>
      <w:pPr>
        <w:spacing w:after="160" w:before="0" w:line="360"/>
        <w:ind w:firstLine="709"/>
        <w:jc w:val="both"/>
      </w:pPr>
      <w:r>
        <w:rPr>
          <w:rFonts w:ascii="Times New Roman" w:cs="Times New Roman" w:eastAsia="Times New Roman" w:hAnsi="Times New Roman"/>
          <w:b w:val="false"/>
          <w:bCs w:val="false"/>
          <w:sz w:val="24"/>
          <w:szCs w:val="24"/>
        </w:rPr>
        <w:t xml:space="preserve">Os módulos são projetados para processar rasters de classificação de cobertura e uso da terra produzidos pelo projeto MapBiomas (Coleção 10), tanto em resolução de 30 metros (Landsat) quanto de 10 metros (Sentinel-2), e produzem saídas tabulares em formato tidy, compatíveis com análise estatística e visualização em R/ggplot2, além de rasters e arquivos de estilo para visualização direta no QGIS.</w:t>
      </w:r>
    </w:p>
    <w:p>
      <w:pPr>
        <w:spacing w:after="160" w:before="0" w:line="360"/>
        <w:ind w:firstLine="709"/>
        <w:jc w:val="both"/>
      </w:pPr>
      <w:r>
        <w:rPr>
          <w:rFonts w:ascii="Times New Roman" w:cs="Times New Roman" w:eastAsia="Times New Roman" w:hAnsi="Times New Roman"/>
          <w:b w:val="false"/>
          <w:bCs w:val="false"/>
          <w:sz w:val="24"/>
          <w:szCs w:val="24"/>
        </w:rPr>
        <w:t xml:space="preserve">A arquitetura em dois módulos independentes — instalados separadamente e acessados sob o mesmo submenu (Complementos → AnP — Análise da Paisagem) — permite que cada componente seja atualizado, testado e distribuído de forma autônoma, facilitando a manutenção e o controle de versão.</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2  DADOS DE ENTRADA E PRÉ-REQUISITOS</w:t>
      </w:r>
    </w:p>
    <w:p>
      <w:pPr>
        <w:pStyle w:val="Heading2"/>
        <w:spacing w:after="120" w:before="240" w:line="276"/>
      </w:pPr>
      <w:r>
        <w:rPr>
          <w:rFonts w:ascii="Times New Roman" w:cs="Times New Roman" w:eastAsia="Times New Roman" w:hAnsi="Times New Roman"/>
          <w:b/>
          <w:bCs/>
          <w:color w:val="2E5F8A"/>
          <w:sz w:val="24"/>
          <w:szCs w:val="24"/>
        </w:rPr>
        <w:t xml:space="preserve">2.1  Rasters MapBiomas</w:t>
      </w:r>
    </w:p>
    <w:p>
      <w:pPr>
        <w:spacing w:after="160" w:before="0" w:line="360"/>
        <w:ind w:firstLine="709"/>
        <w:jc w:val="both"/>
      </w:pPr>
      <w:r>
        <w:rPr>
          <w:rFonts w:ascii="Times New Roman" w:cs="Times New Roman" w:eastAsia="Times New Roman" w:hAnsi="Times New Roman"/>
          <w:b w:val="false"/>
          <w:bCs w:val="false"/>
          <w:sz w:val="24"/>
          <w:szCs w:val="24"/>
        </w:rPr>
        <w:t xml:space="preserve">Os dois módulos operam sobre rasters de classificação de cobertura e uso da terra no formato GeoTIFF (.tif), produzidos pelo projeto MapBiomas. Cada pixel do raster contém um código inteiro correspondente a uma classe de cobertura da terra conforme a legenda oficial da Coleção 10. O plugin aceita duas resoluções espaciais:</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3872"/>
      </w:tblGrid>
      <w:tr>
        <w:trPr>
          <w:tblHeader/>
        </w:trPr>
        <w:tc>
          <w:tcPr>
            <w:tcW w:type="dxa" w:w="2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Coleção / Sensor</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Resolução</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Área do pixel</w:t>
            </w:r>
          </w:p>
        </w:tc>
        <w:tc>
          <w:tcPr>
            <w:tcW w:type="dxa" w:w="38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Observação</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MapBiomas Coleção 10 (Landsat)</w:t>
            </w:r>
          </w:p>
        </w:tc>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 m</w:t>
            </w:r>
          </w:p>
        </w:tc>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900 m²</w:t>
            </w:r>
          </w:p>
        </w:tc>
        <w:tc>
          <w:tcPr>
            <w:tcW w:type="dxa" w:w="3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Série histórica 1985–2024; cobre todo o território nacional</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MapBiomas Sentinel-2</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 m</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100 m²</w:t>
            </w:r>
          </w:p>
        </w:tc>
        <w:tc>
          <w:tcPr>
            <w:tcW w:type="dxa" w:w="38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Alta resolução; cobertura parcial; disponível a partir de 2016</w:t>
            </w:r>
          </w:p>
        </w:tc>
      </w:tr>
    </w:tbl>
    <w:p>
      <w:pPr>
        <w:spacing w:after="12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Limitação: os dois rasters fornecidos (Ano 1 e Ano 2) podem apresentar dimensões em pixels ligeiramente diferentes — fenômeno comum quando os arquivos são provenientes de processamentos distintos ou versões de coleção. O plugin detecta automaticamente essa divergência e alinha os dois arrays ao menor tamanho comum, descartando pixels das bordas excedentes. Essa diferença é tipicamente inferior a 5 pixels e não afeta a análise de maneira significativa, mas deve ser verificada pelo usuário.</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2.2  Sistema de Coordenadas</w:t>
      </w:r>
    </w:p>
    <w:p>
      <w:pPr>
        <w:spacing w:after="160" w:before="0" w:line="360"/>
        <w:ind w:firstLine="709"/>
        <w:jc w:val="both"/>
      </w:pPr>
      <w:r>
        <w:rPr>
          <w:rFonts w:ascii="Times New Roman" w:cs="Times New Roman" w:eastAsia="Times New Roman" w:hAnsi="Times New Roman"/>
          <w:b w:val="false"/>
          <w:bCs w:val="false"/>
          <w:sz w:val="24"/>
          <w:szCs w:val="24"/>
        </w:rPr>
        <w:t xml:space="preserve">O plugin detecta automaticamente se o raster possui sistema de coordenadas projetadas (unidade em metros) ou geográficas (unidade em graus decimais). Quando o sistema é projetado, a área de cada pixel é calculada diretamente a partir da resolução espacial declarada no geotransform do arquivo. Quando o sistema não é projetado, o cálculo de área absoluta (ha, km²) não é possível sem reprojeção, e o plugin adota uma área de pixel padrão conforme a coleção selecionada (900 m² para Landsat, 100 m² para Sentinel-2), emitindo um aviso ao usuário e bloqueando automaticamente a seleção de unidades absolutas.</w:t>
      </w: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Limitação: análises de grandes extensões em coordenadas geográficas (ex.: escala estadual ou nacional) introduzem erro sistemático crescente nas estimativas de área, uma vez que o tamanho angular de um pixel varia com a latitude. Para análises de precisão, recomenda-se reprojetar os rasters para um sistema projetado adequado (ex.: SIRGAS 2000 / UTM) antes de usar o plugin.</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2.3  Hierarquia de Legendas — Coleção 10</w:t>
      </w:r>
    </w:p>
    <w:p>
      <w:pPr>
        <w:spacing w:after="160" w:before="0" w:line="360"/>
        <w:ind w:firstLine="709"/>
        <w:jc w:val="both"/>
      </w:pPr>
      <w:r>
        <w:rPr>
          <w:rFonts w:ascii="Times New Roman" w:cs="Times New Roman" w:eastAsia="Times New Roman" w:hAnsi="Times New Roman"/>
          <w:b w:val="false"/>
          <w:bCs w:val="false"/>
          <w:sz w:val="24"/>
          <w:szCs w:val="24"/>
        </w:rPr>
        <w:t xml:space="preserve">A Coleção 10 do MapBiomas organiza as classes de cobertura em uma hierarquia de quatro níveis. O Módulo I permite ao usuário escolher o nível de agregação antes da análise, o que viabiliza a comparação entre rasters Landsat (até nível 4) e Sentinel-2 (até nível 3):</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000"/>
        <w:gridCol w:w="3772"/>
      </w:tblGrid>
      <w:tr>
        <w:trPr>
          <w:tblHeader/>
        </w:trP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Nível</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N.º de classes</w:t>
            </w:r>
          </w:p>
        </w:tc>
        <w:tc>
          <w:tcPr>
            <w:tcW w:type="dxa" w:w="3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Exemplos de classes</w:t>
            </w:r>
          </w:p>
        </w:tc>
        <w:tc>
          <w:tcPr>
            <w:tcW w:type="dxa" w:w="37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Uso recomendado</w:t>
            </w:r>
          </w:p>
        </w:tc>
      </w:tr>
      <w:tr>
        <w:tc>
          <w:tcPr>
            <w:tcW w:type="dxa" w:w="9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N1</w:t>
            </w:r>
          </w:p>
        </w:tc>
        <w:tc>
          <w:tcPr>
            <w:tcW w:type="dxa" w:w="14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w:t>
            </w:r>
          </w:p>
        </w:tc>
        <w:tc>
          <w:tcPr>
            <w:tcW w:type="dxa" w:w="30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Floresta, Agropecuária, Área não Vegetada</w:t>
            </w:r>
          </w:p>
        </w:tc>
        <w:tc>
          <w:tcPr>
            <w:tcW w:type="dxa" w:w="3772"/>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Visão geral; comparação Landsat × Sentinel</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N2</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21</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Form. Florestal, Pastagem, Urbanizada, Mineração</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Análise regional padrão</w:t>
            </w:r>
          </w:p>
        </w:tc>
      </w:tr>
      <w:tr>
        <w:tc>
          <w:tcPr>
            <w:tcW w:type="dxa" w:w="9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N3</w:t>
            </w:r>
          </w:p>
        </w:tc>
        <w:tc>
          <w:tcPr>
            <w:tcW w:type="dxa" w:w="14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23</w:t>
            </w:r>
          </w:p>
        </w:tc>
        <w:tc>
          <w:tcPr>
            <w:tcW w:type="dxa" w:w="3000"/>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Lavoura Temporária, Lavoura Perene</w:t>
            </w:r>
          </w:p>
        </w:tc>
        <w:tc>
          <w:tcPr>
            <w:tcW w:type="dxa" w:w="3772"/>
            <w:tcBorders>
              <w:top w:val="single" w:color="AAAAAA" w:sz="4"/>
              <w:left w:val="single" w:color="AAAAAA" w:sz="4"/>
              <w:bottom w:val="single" w:color="AAAAAA" w:sz="4"/>
              <w:right w:val="single" w:color="AAAAAA" w:sz="4"/>
            </w:tcBorders>
            <w:shd w:fill="EEF4FA"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Análise agrícola sem detalhe de culturas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N4</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32</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Soja, Cana, Arroz, Café, Citrus, Dendê...</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Máximo detalhe; apenas Landsat</w:t>
            </w:r>
          </w:p>
        </w:tc>
      </w:tr>
    </w:tbl>
    <w:p>
      <w:pPr>
        <w:spacing w:after="120" w:before="0"/>
      </w:pPr>
    </w:p>
    <w:p>
      <w:pPr>
        <w:spacing w:after="160" w:before="0" w:line="360"/>
        <w:ind w:firstLine="709"/>
        <w:jc w:val="both"/>
      </w:pPr>
      <w:r>
        <w:rPr>
          <w:rFonts w:ascii="Times New Roman" w:cs="Times New Roman" w:eastAsia="Times New Roman" w:hAnsi="Times New Roman"/>
          <w:b w:val="false"/>
          <w:bCs w:val="false"/>
          <w:sz w:val="24"/>
          <w:szCs w:val="24"/>
        </w:rPr>
        <w:t xml:space="preserve">A agregação é realizada por mapeamento direto (lookup table) sobre os arrays numpy antes de qualquer cálculo, garantindo que o custo computacional adicional seja mínimo. Cada código de pixel é reatribuído ao código do seu ancestral no nível selecionado, conforme a tabela de hierarquia embutida no arquivo legenda.py.</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3  MÓDULO I — MONITORIA DE COBERTURA DA TERRA (V1.1)</w:t>
      </w:r>
    </w:p>
    <w:p>
      <w:pPr>
        <w:pStyle w:val="Heading2"/>
        <w:spacing w:after="120" w:before="240" w:line="276"/>
      </w:pPr>
      <w:r>
        <w:rPr>
          <w:rFonts w:ascii="Times New Roman" w:cs="Times New Roman" w:eastAsia="Times New Roman" w:hAnsi="Times New Roman"/>
          <w:b/>
          <w:bCs/>
          <w:color w:val="2E5F8A"/>
          <w:sz w:val="24"/>
          <w:szCs w:val="24"/>
        </w:rPr>
        <w:t xml:space="preserve">3.1  Descrição e Finalidade</w:t>
      </w:r>
    </w:p>
    <w:p>
      <w:pPr>
        <w:spacing w:after="160" w:before="0" w:line="360"/>
        <w:ind w:firstLine="709"/>
        <w:jc w:val="both"/>
      </w:pPr>
      <w:r>
        <w:rPr>
          <w:rFonts w:ascii="Times New Roman" w:cs="Times New Roman" w:eastAsia="Times New Roman" w:hAnsi="Times New Roman"/>
          <w:b w:val="false"/>
          <w:bCs w:val="false"/>
          <w:sz w:val="24"/>
          <w:szCs w:val="24"/>
        </w:rPr>
        <w:t xml:space="preserve">O Módulo I realiza análise quantitativa multitemporal de cobertura e uso da terra, comparando dois rasters MapBiomas correspondentes a dois anos distintos. O módulo calcula a distribuição de área por classe de cobertura em cada ano, identifica e quantifica todas as transições entre classes ocorridas no intervalo de tempo, e exporta os resultados em planilhas Excel estruturadas no formato tidy (uma observação por linha), compatíveis com análise direta em R ou Python sem necessidade de transformação prévia.</w:t>
      </w:r>
    </w:p>
    <w:p>
      <w:pPr>
        <w:spacing w:after="160" w:before="0" w:line="360"/>
        <w:ind w:firstLine="709"/>
        <w:jc w:val="both"/>
      </w:pPr>
      <w:r>
        <w:rPr>
          <w:rFonts w:ascii="Times New Roman" w:cs="Times New Roman" w:eastAsia="Times New Roman" w:hAnsi="Times New Roman"/>
          <w:b w:val="false"/>
          <w:bCs w:val="false"/>
          <w:sz w:val="24"/>
          <w:szCs w:val="24"/>
        </w:rPr>
        <w:t xml:space="preserve">O módulo também gera um raster de mudanças de cobertura, classificado em seis categorias de transição ecológica, acompanhado de arquivo de estilo (.qml) que permite visualização imediata no QGIS com paleta de cores pré-definida.</w:t>
      </w:r>
    </w:p>
    <w:p>
      <w:pPr>
        <w:spacing w:after="60" w:before="0"/>
      </w:pPr>
    </w:p>
    <w:p>
      <w:pPr>
        <w:pStyle w:val="Heading2"/>
        <w:spacing w:after="120" w:before="240" w:line="276"/>
      </w:pPr>
      <w:r>
        <w:rPr>
          <w:rFonts w:ascii="Times New Roman" w:cs="Times New Roman" w:eastAsia="Times New Roman" w:hAnsi="Times New Roman"/>
          <w:b/>
          <w:bCs/>
          <w:color w:val="2E5F8A"/>
          <w:sz w:val="24"/>
          <w:szCs w:val="24"/>
        </w:rPr>
        <w:t xml:space="preserve">3.2  Fluxo de Processamento</w:t>
      </w:r>
    </w:p>
    <w:p>
      <w:pPr>
        <w:pStyle w:val="Heading3"/>
        <w:spacing w:after="80" w:before="200" w:line="276"/>
      </w:pPr>
      <w:r>
        <w:rPr>
          <w:rFonts w:ascii="Times New Roman" w:cs="Times New Roman" w:eastAsia="Times New Roman" w:hAnsi="Times New Roman"/>
          <w:b w:val="false"/>
          <w:bCs w:val="false"/>
          <w:sz w:val="24"/>
          <w:szCs w:val="24"/>
        </w:rPr>
        <w:t xml:space="preserve">3.2.1  Abertura e alinhamento dos rasters</w:t>
      </w:r>
    </w:p>
    <w:p>
      <w:pPr>
        <w:spacing w:after="160" w:before="0" w:line="360"/>
        <w:ind w:firstLine="709"/>
        <w:jc w:val="both"/>
      </w:pPr>
      <w:r>
        <w:rPr>
          <w:rFonts w:ascii="Times New Roman" w:cs="Times New Roman" w:eastAsia="Times New Roman" w:hAnsi="Times New Roman"/>
          <w:b w:val="false"/>
          <w:bCs w:val="false"/>
          <w:sz w:val="24"/>
          <w:szCs w:val="24"/>
        </w:rPr>
        <w:t xml:space="preserve">Os dois rasters são abertos via biblioteca GDAL (Geospatial Data Abstraction Library), que fornece o geotransform (posição, resolução e rotação), a projeção em WKT e o valor de nodata. Os arrays de pixels são lidos como matrizes numpy int32. Caso as dimensões sejam divergentes, as matrizes são truncadas ao menor tamanho comum antes de qualquer processamento.</w:t>
      </w:r>
    </w:p>
    <w:p>
      <w:pPr>
        <w:pStyle w:val="Heading3"/>
        <w:spacing w:after="80" w:before="200" w:line="276"/>
      </w:pPr>
      <w:r>
        <w:rPr>
          <w:rFonts w:ascii="Times New Roman" w:cs="Times New Roman" w:eastAsia="Times New Roman" w:hAnsi="Times New Roman"/>
          <w:b w:val="false"/>
          <w:bCs w:val="false"/>
          <w:sz w:val="24"/>
          <w:szCs w:val="24"/>
        </w:rPr>
        <w:t xml:space="preserve">3.2.2  Agregação hierárquica</w:t>
      </w:r>
    </w:p>
    <w:p>
      <w:pPr>
        <w:spacing w:after="160" w:before="0" w:line="360"/>
        <w:ind w:firstLine="709"/>
        <w:jc w:val="both"/>
      </w:pPr>
      <w:r>
        <w:rPr>
          <w:rFonts w:ascii="Times New Roman" w:cs="Times New Roman" w:eastAsia="Times New Roman" w:hAnsi="Times New Roman"/>
          <w:b w:val="false"/>
          <w:bCs w:val="false"/>
          <w:sz w:val="24"/>
          <w:szCs w:val="24"/>
        </w:rPr>
        <w:t xml:space="preserve">Antes da contagem de pixels, o array é submetido à função agregar_nivel(), que aplica um mapeamento vetorizado (numpy fancy indexing) remapeando cada código ao seu equivalente no nível hierárquico escolhido. A operação é realizada em memória, sem modificação do arquivo original.</w:t>
      </w:r>
    </w:p>
    <w:p>
      <w:pPr>
        <w:pStyle w:val="Heading3"/>
        <w:spacing w:after="80" w:before="200" w:line="276"/>
      </w:pPr>
      <w:r>
        <w:rPr>
          <w:rFonts w:ascii="Times New Roman" w:cs="Times New Roman" w:eastAsia="Times New Roman" w:hAnsi="Times New Roman"/>
          <w:b w:val="false"/>
          <w:bCs w:val="false"/>
          <w:sz w:val="24"/>
          <w:szCs w:val="24"/>
        </w:rPr>
        <w:t xml:space="preserve">3.2.3  Contagem de pixels e cálculo de área</w:t>
      </w:r>
    </w:p>
    <w:p>
      <w:pPr>
        <w:spacing w:after="160" w:before="0" w:line="360"/>
        <w:ind w:firstLine="709"/>
        <w:jc w:val="both"/>
      </w:pPr>
      <w:r>
        <w:rPr>
          <w:rFonts w:ascii="Times New Roman" w:cs="Times New Roman" w:eastAsia="Times New Roman" w:hAnsi="Times New Roman"/>
          <w:b w:val="false"/>
          <w:bCs w:val="false"/>
          <w:sz w:val="24"/>
          <w:szCs w:val="24"/>
        </w:rPr>
        <w:t xml:space="preserve">A função contar_pixels() percorre os valores únicos de cada array via numpy.unique() e acumula a contagem de pixels por classe, excluindo explicitamente os valores de nodata (0, 255, -1 e 27 — "Não Observado"). A área de cada classe é obtida multiplicando-se a contagem de pixels pela área unitária do pixel (em ha), calculada a partir da resolução espacial declarada no geotransform.</w:t>
      </w:r>
    </w:p>
    <w:p>
      <w:pPr>
        <w:pStyle w:val="Heading3"/>
        <w:spacing w:after="80" w:before="200" w:line="276"/>
      </w:pPr>
      <w:r>
        <w:rPr>
          <w:rFonts w:ascii="Times New Roman" w:cs="Times New Roman" w:eastAsia="Times New Roman" w:hAnsi="Times New Roman"/>
          <w:b w:val="false"/>
          <w:bCs w:val="false"/>
          <w:sz w:val="24"/>
          <w:szCs w:val="24"/>
        </w:rPr>
        <w:t xml:space="preserve">3.2.4  Tabela de cobertura</w:t>
      </w:r>
    </w:p>
    <w:p>
      <w:pPr>
        <w:spacing w:after="160" w:before="0" w:line="360"/>
        <w:ind w:firstLine="709"/>
        <w:jc w:val="both"/>
      </w:pPr>
      <w:r>
        <w:rPr>
          <w:rFonts w:ascii="Times New Roman" w:cs="Times New Roman" w:eastAsia="Times New Roman" w:hAnsi="Times New Roman"/>
          <w:b w:val="false"/>
          <w:bCs w:val="false"/>
          <w:sz w:val="24"/>
          <w:szCs w:val="24"/>
        </w:rPr>
        <w:t xml:space="preserve">A função gerar_tabela_cobertura() constrói uma lista de dicionários com os campos: código da classe, nome da classe, grupo temático, número de pixels, área em ha, e percentual em relação à área total observada (excluindo nodata). Os percentuais são calculados dividindo a contagem de cada classe pelo total de pixels válidos do respectivo ano, garantindo que a soma seja 100% independentemente do nível de nodata.</w:t>
      </w:r>
    </w:p>
    <w:p>
      <w:pPr>
        <w:pStyle w:val="Heading3"/>
        <w:spacing w:after="80" w:before="200" w:line="276"/>
      </w:pPr>
      <w:r>
        <w:rPr>
          <w:rFonts w:ascii="Times New Roman" w:cs="Times New Roman" w:eastAsia="Times New Roman" w:hAnsi="Times New Roman"/>
          <w:b w:val="false"/>
          <w:bCs w:val="false"/>
          <w:sz w:val="24"/>
          <w:szCs w:val="24"/>
        </w:rPr>
        <w:t xml:space="preserve">3.2.5  Matriz de transição e categorias de mudança</w:t>
      </w:r>
    </w:p>
    <w:p>
      <w:pPr>
        <w:spacing w:after="160" w:before="0" w:line="360"/>
        <w:ind w:firstLine="709"/>
        <w:jc w:val="both"/>
      </w:pPr>
      <w:r>
        <w:rPr>
          <w:rFonts w:ascii="Times New Roman" w:cs="Times New Roman" w:eastAsia="Times New Roman" w:hAnsi="Times New Roman"/>
          <w:b w:val="false"/>
          <w:bCs w:val="false"/>
          <w:sz w:val="24"/>
          <w:szCs w:val="24"/>
        </w:rPr>
        <w:t xml:space="preserve">A função gerar_tabela_transicao() utiliza numpy.isin() para criar uma máscara de pixels válidos nos dois anos e, em seguida, empilha os valores dos dois arrays em pares via zip(), acumulando a contagem de cada combinação (classe_1985, classe_2024) em um dicionário Counter. Cada par é então classificado em uma das seis categorias de transição ecológica pela função categoria_transicao(), que avalia se as classes de origem e destino pertencem ou não ao conjunto de classes naturais:</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5372"/>
      </w:tblGrid>
      <w:tr>
        <w:trPr>
          <w:tblHeader/>
        </w:trP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Categoria</w:t>
            </w:r>
          </w:p>
        </w:tc>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Cor</w:t>
            </w:r>
          </w:p>
        </w:tc>
        <w:tc>
          <w:tcPr>
            <w:tcW w:type="dxa" w:w="53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Critério de classificação</w:t>
            </w:r>
          </w:p>
        </w:tc>
      </w:tr>
      <w:tr>
        <w:tc>
          <w:tcPr>
            <w:tcW w:type="dxa" w:w="2800"/>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Manteve-se em cobertura natural</w:t>
            </w:r>
          </w:p>
        </w:tc>
        <w:tc>
          <w:tcPr>
            <w:tcW w:type="dxa" w:w="900"/>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#388E3C</w:t>
            </w:r>
          </w:p>
        </w:tc>
        <w:tc>
          <w:tcPr>
            <w:tcW w:type="dxa" w:w="5372"/>
            <w:tcBorders>
              <w:top w:val="single" w:color="AAAAAA" w:sz="4"/>
              <w:left w:val="single" w:color="AAAAAA" w:sz="4"/>
              <w:bottom w:val="single" w:color="AAAAAA" w:sz="4"/>
              <w:right w:val="single" w:color="AAAAAA" w:sz="4"/>
            </w:tcBorders>
            <w:shd w:fill="C8E6C9"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e destino naturais; mesmo código</w:t>
            </w:r>
          </w:p>
        </w:tc>
      </w:tr>
      <w:tr>
        <w:tc>
          <w:tcPr>
            <w:tcW w:type="dxa" w:w="2800"/>
            <w:tcBorders>
              <w:top w:val="single" w:color="AAAAAA" w:sz="4"/>
              <w:left w:val="single" w:color="AAAAAA" w:sz="4"/>
              <w:bottom w:val="single" w:color="AAAAAA" w:sz="4"/>
              <w:right w:val="single" w:color="AAAAAA" w:sz="4"/>
            </w:tcBorders>
            <w:shd w:fill="FFCCB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Manteve-se em cobertura antrópica</w:t>
            </w:r>
          </w:p>
        </w:tc>
        <w:tc>
          <w:tcPr>
            <w:tcW w:type="dxa" w:w="900"/>
            <w:tcBorders>
              <w:top w:val="single" w:color="AAAAAA" w:sz="4"/>
              <w:left w:val="single" w:color="AAAAAA" w:sz="4"/>
              <w:bottom w:val="single" w:color="AAAAAA" w:sz="4"/>
              <w:right w:val="single" w:color="AAAAAA" w:sz="4"/>
            </w:tcBorders>
            <w:shd w:fill="FFCCB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#F57C00</w:t>
            </w:r>
          </w:p>
        </w:tc>
        <w:tc>
          <w:tcPr>
            <w:tcW w:type="dxa" w:w="5372"/>
            <w:tcBorders>
              <w:top w:val="single" w:color="AAAAAA" w:sz="4"/>
              <w:left w:val="single" w:color="AAAAAA" w:sz="4"/>
              <w:bottom w:val="single" w:color="AAAAAA" w:sz="4"/>
              <w:right w:val="single" w:color="AAAAAA" w:sz="4"/>
            </w:tcBorders>
            <w:shd w:fill="FFCCB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e destino antrópicos; mesmo código</w:t>
            </w:r>
          </w:p>
        </w:tc>
      </w:tr>
      <w:tr>
        <w:tc>
          <w:tcPr>
            <w:tcW w:type="dxa" w:w="2800"/>
            <w:tcBorders>
              <w:top w:val="single" w:color="AAAAAA" w:sz="4"/>
              <w:left w:val="single" w:color="AAAAAA" w:sz="4"/>
              <w:bottom w:val="single" w:color="AAAAAA" w:sz="4"/>
              <w:right w:val="single" w:color="AAAAAA" w:sz="4"/>
            </w:tcBorders>
            <w:shd w:fill="DCEDC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Mudou entre coberturas naturais</w:t>
            </w:r>
          </w:p>
        </w:tc>
        <w:tc>
          <w:tcPr>
            <w:tcW w:type="dxa" w:w="900"/>
            <w:tcBorders>
              <w:top w:val="single" w:color="AAAAAA" w:sz="4"/>
              <w:left w:val="single" w:color="AAAAAA" w:sz="4"/>
              <w:bottom w:val="single" w:color="AAAAAA" w:sz="4"/>
              <w:right w:val="single" w:color="AAAAAA" w:sz="4"/>
            </w:tcBorders>
            <w:shd w:fill="DCEDC8"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#AED581</w:t>
            </w:r>
          </w:p>
        </w:tc>
        <w:tc>
          <w:tcPr>
            <w:tcW w:type="dxa" w:w="5372"/>
            <w:tcBorders>
              <w:top w:val="single" w:color="AAAAAA" w:sz="4"/>
              <w:left w:val="single" w:color="AAAAAA" w:sz="4"/>
              <w:bottom w:val="single" w:color="AAAAAA" w:sz="4"/>
              <w:right w:val="single" w:color="AAAAAA" w:sz="4"/>
            </w:tcBorders>
            <w:shd w:fill="DCEDC8"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e destino naturais; códigos distintos</w:t>
            </w:r>
          </w:p>
        </w:tc>
      </w:tr>
      <w:tr>
        <w:tc>
          <w:tcPr>
            <w:tcW w:type="dxa" w:w="2800"/>
            <w:tcBorders>
              <w:top w:val="single" w:color="AAAAAA" w:sz="4"/>
              <w:left w:val="single" w:color="AAAAAA" w:sz="4"/>
              <w:bottom w:val="single" w:color="AAAAAA" w:sz="4"/>
              <w:right w:val="single" w:color="AAAAAA" w:sz="4"/>
            </w:tcBorders>
            <w:shd w:fill="E1BEE7"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Mudou entre coberturas antrópicas</w:t>
            </w:r>
          </w:p>
        </w:tc>
        <w:tc>
          <w:tcPr>
            <w:tcW w:type="dxa" w:w="900"/>
            <w:tcBorders>
              <w:top w:val="single" w:color="AAAAAA" w:sz="4"/>
              <w:left w:val="single" w:color="AAAAAA" w:sz="4"/>
              <w:bottom w:val="single" w:color="AAAAAA" w:sz="4"/>
              <w:right w:val="single" w:color="AAAAAA" w:sz="4"/>
            </w:tcBorders>
            <w:shd w:fill="E1BEE7"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#9C27B0</w:t>
            </w:r>
          </w:p>
        </w:tc>
        <w:tc>
          <w:tcPr>
            <w:tcW w:type="dxa" w:w="5372"/>
            <w:tcBorders>
              <w:top w:val="single" w:color="AAAAAA" w:sz="4"/>
              <w:left w:val="single" w:color="AAAAAA" w:sz="4"/>
              <w:bottom w:val="single" w:color="AAAAAA" w:sz="4"/>
              <w:right w:val="single" w:color="AAAAAA" w:sz="4"/>
            </w:tcBorders>
            <w:shd w:fill="E1BEE7"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e destino antrópicos; códigos distintos</w:t>
            </w:r>
          </w:p>
        </w:tc>
      </w:tr>
      <w:tr>
        <w:tc>
          <w:tcPr>
            <w:tcW w:type="dxa" w:w="2800"/>
            <w:tcBorders>
              <w:top w:val="single" w:color="AAAAAA" w:sz="4"/>
              <w:left w:val="single" w:color="AAAAAA" w:sz="4"/>
              <w:bottom w:val="single" w:color="AAAAAA" w:sz="4"/>
              <w:right w:val="single" w:color="AAAAAA" w:sz="4"/>
            </w:tcBorders>
            <w:shd w:fill="B3E5F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Mudou de antrópico para natural</w:t>
            </w:r>
          </w:p>
        </w:tc>
        <w:tc>
          <w:tcPr>
            <w:tcW w:type="dxa" w:w="900"/>
            <w:tcBorders>
              <w:top w:val="single" w:color="AAAAAA" w:sz="4"/>
              <w:left w:val="single" w:color="AAAAAA" w:sz="4"/>
              <w:bottom w:val="single" w:color="AAAAAA" w:sz="4"/>
              <w:right w:val="single" w:color="AAAAAA" w:sz="4"/>
            </w:tcBorders>
            <w:shd w:fill="B3E5FC"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#1976D2</w:t>
            </w:r>
          </w:p>
        </w:tc>
        <w:tc>
          <w:tcPr>
            <w:tcW w:type="dxa" w:w="5372"/>
            <w:tcBorders>
              <w:top w:val="single" w:color="AAAAAA" w:sz="4"/>
              <w:left w:val="single" w:color="AAAAAA" w:sz="4"/>
              <w:bottom w:val="single" w:color="AAAAAA" w:sz="4"/>
              <w:right w:val="single" w:color="AAAAAA" w:sz="4"/>
            </w:tcBorders>
            <w:shd w:fill="B3E5FC"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antrópica; destino natural (regeneração)</w:t>
            </w:r>
          </w:p>
        </w:tc>
      </w:tr>
      <w:tr>
        <w:tc>
          <w:tcPr>
            <w:tcW w:type="dxa" w:w="28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Mudou de natural para antrópico</w:t>
            </w:r>
          </w:p>
        </w:tc>
        <w:tc>
          <w:tcPr>
            <w:tcW w:type="dxa" w:w="900"/>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#D32F2F</w:t>
            </w:r>
          </w:p>
        </w:tc>
        <w:tc>
          <w:tcPr>
            <w:tcW w:type="dxa" w:w="5372"/>
            <w:tcBorders>
              <w:top w:val="single" w:color="AAAAAA" w:sz="4"/>
              <w:left w:val="single" w:color="AAAAAA" w:sz="4"/>
              <w:bottom w:val="single" w:color="AAAAAA" w:sz="4"/>
              <w:right w:val="single" w:color="AAAAAA" w:sz="4"/>
            </w:tcBorders>
            <w:shd w:fill="FFCDD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Origem natural; destino antrópico (conversão)</w:t>
            </w:r>
          </w:p>
        </w:tc>
      </w:tr>
    </w:tbl>
    <w:p>
      <w:pPr>
        <w:spacing w:after="120" w:before="0"/>
      </w:pPr>
    </w:p>
    <w:p>
      <w:pPr>
        <w:pStyle w:val="Heading3"/>
        <w:spacing w:after="80" w:before="200" w:line="276"/>
      </w:pPr>
      <w:r>
        <w:rPr>
          <w:rFonts w:ascii="Times New Roman" w:cs="Times New Roman" w:eastAsia="Times New Roman" w:hAnsi="Times New Roman"/>
          <w:b w:val="false"/>
          <w:bCs w:val="false"/>
          <w:sz w:val="24"/>
          <w:szCs w:val="24"/>
        </w:rPr>
        <w:t xml:space="preserve">3.2.6  Desagregação por feições</w:t>
      </w:r>
    </w:p>
    <w:p>
      <w:pPr>
        <w:spacing w:after="160" w:before="0" w:line="360"/>
        <w:ind w:firstLine="709"/>
        <w:jc w:val="both"/>
      </w:pPr>
      <w:r>
        <w:rPr>
          <w:rFonts w:ascii="Times New Roman" w:cs="Times New Roman" w:eastAsia="Times New Roman" w:hAnsi="Times New Roman"/>
          <w:b w:val="false"/>
          <w:bCs w:val="false"/>
          <w:sz w:val="24"/>
          <w:szCs w:val="24"/>
        </w:rPr>
        <w:t xml:space="preserve">Quando o usuário ativa a desagregação por feições e fornece um shapefile com campo identificador, o módulo itera sobre as feições do arquivo vetorial via OGR (da biblioteca GDAL). Para cada feição, a geometria é rasterizada em memória utilizando gdal.RasterizeLayer() sobre um raster auxiliar criado no driver MEM (in-memory), sem gravar arquivos temporários em disco. A máscara binária resultante é aplicada ao subarray extraído pelo envelope da feição, e o processamento de cobertura e transições é executado independentemente para cada unidade espacial.</w:t>
      </w:r>
    </w:p>
    <w:p>
      <w:pPr>
        <w:pBdr>
          <w:left w:val="single" w:color="1B5E20" w:sz="16" w:space="8"/>
        </w:pBdr>
        <w:spacing w:after="80" w:before="80" w:line="300"/>
        <w:ind w:left="567" w:right="567"/>
        <w:jc w:val="both"/>
      </w:pPr>
      <w:r>
        <w:rPr>
          <w:rFonts w:ascii="Times New Roman" w:cs="Times New Roman" w:eastAsia="Times New Roman" w:hAnsi="Times New Roman"/>
          <w:color w:val="1B5E20"/>
          <w:sz w:val="20"/>
          <w:szCs w:val="20"/>
        </w:rPr>
        <w:t xml:space="preserve">Nota: a desagregação por feições é operação intensiva em memória quando o número de feições é elevado ou os rasters são de grande extensão. Recomenda-se testar com o Shape Completo antes de ativar a desagregação.</w:t>
      </w:r>
    </w:p>
    <w:p>
      <w:pPr>
        <w:pStyle w:val="Heading3"/>
        <w:spacing w:after="80" w:before="200" w:line="276"/>
      </w:pPr>
      <w:r>
        <w:rPr>
          <w:rFonts w:ascii="Times New Roman" w:cs="Times New Roman" w:eastAsia="Times New Roman" w:hAnsi="Times New Roman"/>
          <w:b w:val="false"/>
          <w:bCs w:val="false"/>
          <w:sz w:val="24"/>
          <w:szCs w:val="24"/>
        </w:rPr>
        <w:t xml:space="preserve">3.2.7  Raster de mudanças e arquivo QML</w:t>
      </w:r>
    </w:p>
    <w:p>
      <w:pPr>
        <w:spacing w:after="160" w:before="0" w:line="360"/>
        <w:ind w:firstLine="709"/>
        <w:jc w:val="both"/>
      </w:pPr>
      <w:r>
        <w:rPr>
          <w:rFonts w:ascii="Times New Roman" w:cs="Times New Roman" w:eastAsia="Times New Roman" w:hAnsi="Times New Roman"/>
          <w:b w:val="false"/>
          <w:bCs w:val="false"/>
          <w:sz w:val="24"/>
          <w:szCs w:val="24"/>
        </w:rPr>
        <w:t xml:space="preserve">A função gerar_raster_mudancas() aplica a mesma lógica de classificação de transições ao nível de pixel, produzindo um raster de saída com tipo de dado uint8 e valores de 1 a 6 correspondendo às seis categorias de mudança (valor 0 = nodata). O raster é salvo em GeoTIFF com compressão LZW. O arquivo .qml gerado pela função gerar_qml() utiliza o elemento &lt;paletteEntry&gt; do renderizador paletted do QGIS 3.x (formato incompatível com QGIS 2.x, que usava &lt;item&gt;), permitindo que ao arrastar o TIF para o QGIS o estilo de cores seja aplicado automaticamente se o .qml estiver na mesma pasta com o mesmo nome-base.</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3.3  Saídas Geradas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72"/>
      </w:tblGrid>
      <w:tr>
        <w:trPr>
          <w:tblHeader/>
        </w:trP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Arquivo</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Aba / Tipo</w:t>
            </w:r>
          </w:p>
        </w:tc>
        <w:tc>
          <w:tcPr>
            <w:tcW w:type="dxa" w:w="47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Conteúdo e estrutura</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ano1_ano2_monitoria.xlsx</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Cobertura</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Tidy: grupo | classe | cod_classe | ano | unidade_analise | area_ha [| area_km2] | percentual</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Alteracoes</w:t>
            </w:r>
          </w:p>
        </w:tc>
        <w:tc>
          <w:tcPr>
            <w:tcW w:type="dxa" w:w="4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Tidy: cod_orig | classe_orig | cod_dest | classe_dest | cod_trans | categoria | unidade_analise | area | percentual. Cada linha com cor de fundo da categoria.</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ano1_ano2_Matriz.xlsx</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Uma aba por unidade</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Duas matrizes empilhadas: (1) área em ha ou km² com nota interpretativa; (2) percentual da área de origem com nota interpretativa. Diagonal em vermelho indica permanência.</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ano1_ano2_mudancas.tif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Raster uint8</w:t>
            </w:r>
          </w:p>
        </w:tc>
        <w:tc>
          <w:tcPr>
            <w:tcW w:type="dxa" w:w="4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Valores 1–6 por categoria de transição; valor 0 = nodata. Compressão LZW.</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ano1_ano2_mudancas.qml</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Estilo QGIS</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Arquivo de estilo paletted com as 6 categorias e suas cores. Aplicado automaticamente ao importar o TIF se estiverem na mesma pasta.</w:t>
            </w:r>
          </w:p>
        </w:tc>
      </w:tr>
    </w:tbl>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3.4  Limitações do Módulo I</w:t>
      </w: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1. Comparação entre coleções distintas: ao comparar Landsat (N4) e Sentinel-2 (N3), o usuário deve selecionar N3 ou inferior para garantir compatibilidade. Classes de nível 4 presentes apenas no Landsat (ex.: Soja, Cana) serão agregadas ao nível selecionado automaticamente.</w:t>
      </w:r>
    </w:p>
    <w:p>
      <w:pPr>
        <w:spacing w:after="6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2. Área de pixel em CRS geográfico: quando os rasters não estão reprojetados, os valores de área em ha e km² são estimativas baseadas em tamanho de pixel padrão. O percentual é o indicador mais confiável nesse caso.</w:t>
      </w:r>
    </w:p>
    <w:p>
      <w:pPr>
        <w:spacing w:after="6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3. Matriz de transição com muitas classes: em análises de nível 4 com muitas classes presentes, a matriz pode se tornar esparsa e de difícil leitura. Recomenda-se usar N1 ou N2 para análises matriciais.</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4  MÓDULO II — FRAGMENTAÇÃO E CONECTIVIDADE DA PAISAGEM (V1.0)</w:t>
      </w:r>
    </w:p>
    <w:p>
      <w:pPr>
        <w:pStyle w:val="Heading2"/>
        <w:spacing w:after="120" w:before="240" w:line="276"/>
      </w:pPr>
      <w:r>
        <w:rPr>
          <w:rFonts w:ascii="Times New Roman" w:cs="Times New Roman" w:eastAsia="Times New Roman" w:hAnsi="Times New Roman"/>
          <w:b/>
          <w:bCs/>
          <w:color w:val="2E5F8A"/>
          <w:sz w:val="24"/>
          <w:szCs w:val="24"/>
        </w:rPr>
        <w:t xml:space="preserve">4.1  Descrição e Finalidade</w:t>
      </w:r>
    </w:p>
    <w:p>
      <w:pPr>
        <w:spacing w:after="160" w:before="0" w:line="360"/>
        <w:ind w:firstLine="709"/>
        <w:jc w:val="both"/>
      </w:pPr>
      <w:r>
        <w:rPr>
          <w:rFonts w:ascii="Times New Roman" w:cs="Times New Roman" w:eastAsia="Times New Roman" w:hAnsi="Times New Roman"/>
          <w:b w:val="false"/>
          <w:bCs w:val="false"/>
          <w:sz w:val="24"/>
          <w:szCs w:val="24"/>
        </w:rPr>
        <w:t xml:space="preserve">O Módulo II calcula métricas quantitativas de estrutura e fragmentação da paisagem para grupos de cobertura natural, comparando dois anos de referência. As métricas são obtidas a partir da biblioteca PyLandStats (versão 3.x) para métricas de classe e de paisagem, e via erosão morfológica binária (biblioteca SciPy) para métricas de área núcleo. O módulo opera exclusivamente sobre o Nível 1 da hierarquia MapBiomas, analisando os seguintes grupos: Floresta, Vegetação Herbácea e Arbustiva, Cobertura Natural (combinação dos dois anteriores) e Corpo D'água.</w:t>
      </w:r>
    </w:p>
    <w:p>
      <w:pPr>
        <w:spacing w:after="160" w:before="0" w:line="360"/>
        <w:ind w:firstLine="709"/>
        <w:jc w:val="both"/>
      </w:pPr>
      <w:r>
        <w:rPr>
          <w:rFonts w:ascii="Times New Roman" w:cs="Times New Roman" w:eastAsia="Times New Roman" w:hAnsi="Times New Roman"/>
          <w:b w:val="false"/>
          <w:bCs w:val="false"/>
          <w:sz w:val="24"/>
          <w:szCs w:val="24"/>
        </w:rPr>
        <w:t xml:space="preserve">As saídas incluem planilhas tidy com métricas para os dois anos e variações absolutas e percentuais, além de rasters binários de área núcleo (pixels internos após erosão morfológica) com arquivos de estilo (.qml) para cada grupo e ano.</w:t>
      </w:r>
    </w:p>
    <w:p>
      <w:pPr>
        <w:spacing w:after="60" w:before="0"/>
      </w:pPr>
    </w:p>
    <w:p>
      <w:pPr>
        <w:pStyle w:val="Heading2"/>
        <w:spacing w:after="120" w:before="240" w:line="276"/>
      </w:pPr>
      <w:r>
        <w:rPr>
          <w:rFonts w:ascii="Times New Roman" w:cs="Times New Roman" w:eastAsia="Times New Roman" w:hAnsi="Times New Roman"/>
          <w:b/>
          <w:bCs/>
          <w:color w:val="2E5F8A"/>
          <w:sz w:val="24"/>
          <w:szCs w:val="24"/>
        </w:rPr>
        <w:t xml:space="preserve">4.2  Grupos de Cobertura e Agregação N1</w:t>
      </w:r>
    </w:p>
    <w:p>
      <w:pPr>
        <w:spacing w:after="160" w:before="0" w:line="360"/>
        <w:ind w:firstLine="709"/>
        <w:jc w:val="both"/>
      </w:pPr>
      <w:r>
        <w:rPr>
          <w:rFonts w:ascii="Times New Roman" w:cs="Times New Roman" w:eastAsia="Times New Roman" w:hAnsi="Times New Roman"/>
          <w:b w:val="false"/>
          <w:bCs w:val="false"/>
          <w:sz w:val="24"/>
          <w:szCs w:val="24"/>
        </w:rPr>
        <w:t xml:space="preserve">Antes de qualquer cálculo, os arrays de pixels de ambos os anos são agregados para o Nível 1 da hierarquia via a função agregar_n1(), que aplica a tabela MAPA_N1 mapeando todos os 32 códigos da Coleção 10 a um dos seis grandes grupos (códigos 1, 10, 14, 22, 26 e 27). Essa agregação é irreversível para o processamento — o módulo não retorna ao nível original.</w:t>
      </w:r>
    </w:p>
    <w:p>
      <w:pPr>
        <w:spacing w:after="160" w:before="0" w:line="360"/>
        <w:ind w:firstLine="709"/>
        <w:jc w:val="both"/>
      </w:pPr>
      <w:r>
        <w:rPr>
          <w:rFonts w:ascii="Times New Roman" w:cs="Times New Roman" w:eastAsia="Times New Roman" w:hAnsi="Times New Roman"/>
          <w:b w:val="false"/>
          <w:bCs w:val="false"/>
          <w:sz w:val="24"/>
          <w:szCs w:val="24"/>
        </w:rPr>
        <w:t xml:space="preserve">Para o grupo "Cobertura Natural", que combina Floresta (código 1) e Vegetação Herbácea (código 10), o módulo cria um array sintético em que ambos os códigos são remapeados para o código 1 antes de passar ao PyLandStats. Os demais códigos recebem um offset de +100 para evitar colisão de valores, permitindo que o PyLandStats compute as métricas do grupo combinado como se fosse uma única classe em seu contexto paisagístico real.</w:t>
      </w:r>
    </w:p>
    <w:p>
      <w:pPr>
        <w:spacing w:after="60" w:before="0"/>
      </w:pPr>
    </w:p>
    <w:p>
      <w:pPr>
        <w:pStyle w:val="Heading2"/>
        <w:spacing w:after="120" w:before="240" w:line="276"/>
      </w:pPr>
      <w:r>
        <w:rPr>
          <w:rFonts w:ascii="Times New Roman" w:cs="Times New Roman" w:eastAsia="Times New Roman" w:hAnsi="Times New Roman"/>
          <w:b/>
          <w:bCs/>
          <w:color w:val="2E5F8A"/>
          <w:sz w:val="24"/>
          <w:szCs w:val="24"/>
        </w:rPr>
        <w:t xml:space="preserve">4.3  Métricas de Classe — PyLandStats</w:t>
      </w:r>
    </w:p>
    <w:p>
      <w:pPr>
        <w:spacing w:after="160" w:before="0" w:line="360"/>
        <w:ind w:firstLine="709"/>
        <w:jc w:val="both"/>
      </w:pPr>
      <w:r>
        <w:rPr>
          <w:rFonts w:ascii="Times New Roman" w:cs="Times New Roman" w:eastAsia="Times New Roman" w:hAnsi="Times New Roman"/>
          <w:b w:val="false"/>
          <w:bCs w:val="false"/>
          <w:sz w:val="24"/>
          <w:szCs w:val="24"/>
        </w:rPr>
        <w:t xml:space="preserve">O PyLandStats é uma biblioteca Python que implementa as métricas definidas por McGarigal &amp; Marks (1995) no software FRAGSTATS, adaptadas para operação nativa em Python com arrays numpy. Para cada grupo de cobertura e cada ano, o módulo chama ls.compute_class_metrics_df(), passando o array completo do recorte — não apenas os pixels da classe analisada — de modo que as métricas contextuais (TE, ED) reflitam as bordas reais contra as classes adjacentes.</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200"/>
        <w:gridCol w:w="2200"/>
        <w:gridCol w:w="3772"/>
      </w:tblGrid>
      <w:tr>
        <w:trPr>
          <w:tblHeader/>
        </w:trP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Sigla</w:t>
            </w:r>
          </w:p>
        </w:tc>
        <w:tc>
          <w:tcPr>
            <w:tcW w:type="dxa" w:w="10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Unidade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Tema</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Nomenclatura PyLandStats</w:t>
            </w:r>
          </w:p>
        </w:tc>
        <w:tc>
          <w:tcPr>
            <w:tcW w:type="dxa" w:w="37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Descrição</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CA</w:t>
            </w:r>
          </w:p>
        </w:tc>
        <w:tc>
          <w:tcPr>
            <w:tcW w:type="dxa" w:w="1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ha</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total_area</w:t>
            </w:r>
          </w:p>
        </w:tc>
        <w:tc>
          <w:tcPr>
            <w:tcW w:type="dxa" w:w="3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total da classe no recorte. Convertido de m² para ha.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PLAND</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proportion_of_landscape</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Percentual da classe em relação à área total da paisagem.</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LPI</w:t>
            </w:r>
          </w:p>
        </w:tc>
        <w:tc>
          <w:tcPr>
            <w:tcW w:type="dxa" w:w="1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largest_patch_index</w:t>
            </w:r>
          </w:p>
        </w:tc>
        <w:tc>
          <w:tcPr>
            <w:tcW w:type="dxa" w:w="3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do maior fragmento em relação à área total. Indicador de dominância.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NP</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Fragmentação</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number_of_patches</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Número total de fragmentos (manchas) da classe.</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PD</w:t>
            </w:r>
          </w:p>
        </w:tc>
        <w:tc>
          <w:tcPr>
            <w:tcW w:type="dxa" w:w="1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n/100ha</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Fragmentação</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patch_density</w:t>
            </w:r>
          </w:p>
        </w:tc>
        <w:tc>
          <w:tcPr>
            <w:tcW w:type="dxa" w:w="3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Densidade de fragmentos por 100 ha. Permite comparação entre recortes de tamanhos diferentes.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AREA_MN</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ha</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Fragmentação</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area_mn</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média dos fragmentos. Convertido de m² para ha.</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w:t>
            </w:r>
          </w:p>
        </w:tc>
        <w:tc>
          <w:tcPr>
            <w:tcW w:type="dxa" w:w="1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Borda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total_edge</w:t>
            </w:r>
          </w:p>
        </w:tc>
        <w:tc>
          <w:tcPr>
            <w:tcW w:type="dxa" w:w="3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Comprimento total de bordas entre a classe e outras classes adjacentes.</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ED</w:t>
            </w:r>
          </w:p>
        </w:tc>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m/ha</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Borda</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edge_density</w:t>
            </w:r>
          </w:p>
        </w:tc>
        <w:tc>
          <w:tcPr>
            <w:tcW w:type="dxa" w:w="3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Densidade de bordas por ha. Normalizado pela área.</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SHAPE_MN</w:t>
            </w:r>
          </w:p>
        </w:tc>
        <w:tc>
          <w:tcPr>
            <w:tcW w:type="dxa" w:w="10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adim.</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Forma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shape_index_mn</w:t>
            </w:r>
          </w:p>
        </w:tc>
        <w:tc>
          <w:tcPr>
            <w:tcW w:type="dxa" w:w="3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Índice de forma médio. Valor 1 = forma circular; valores maiores = formas mais irregulares.</w:t>
            </w:r>
          </w:p>
        </w:tc>
      </w:tr>
    </w:tbl>
    <w:p>
      <w:pPr>
        <w:spacing w:after="120" w:before="0"/>
      </w:pPr>
    </w:p>
    <w:p>
      <w:pPr>
        <w:pBdr>
          <w:left w:val="single" w:color="1B5E20" w:sz="16" w:space="8"/>
        </w:pBdr>
        <w:spacing w:after="80" w:before="80" w:line="300"/>
        <w:ind w:left="567" w:right="567"/>
        <w:jc w:val="both"/>
      </w:pPr>
      <w:r>
        <w:rPr>
          <w:rFonts w:ascii="Times New Roman" w:cs="Times New Roman" w:eastAsia="Times New Roman" w:hAnsi="Times New Roman"/>
          <w:color w:val="1B5E20"/>
          <w:sz w:val="20"/>
          <w:szCs w:val="20"/>
        </w:rPr>
        <w:t xml:space="preserve">Nota sobre conversão de unidades: o PyLandStats retorna CA e AREA_MN em m² (metros quadrados). O módulo divide esses valores por 10.000 para conversão em hectares. TE é retornado em metros e não requer conversão. MESH é retornado em m² e também é convertido para ha.</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4.4  Área Núcleo — Erosão Morfológica (SciPy)</w:t>
      </w:r>
    </w:p>
    <w:p>
      <w:pPr>
        <w:spacing w:after="160" w:before="0" w:line="360"/>
        <w:ind w:firstLine="709"/>
        <w:jc w:val="both"/>
      </w:pPr>
      <w:r>
        <w:rPr>
          <w:rFonts w:ascii="Times New Roman" w:cs="Times New Roman" w:eastAsia="Times New Roman" w:hAnsi="Times New Roman"/>
          <w:b w:val="false"/>
          <w:bCs w:val="false"/>
          <w:sz w:val="24"/>
          <w:szCs w:val="24"/>
        </w:rPr>
        <w:t xml:space="preserve">As métricas de área núcleo (TCA, CORE_MN, NDCA) não são implementadas pelo PyLandStats e são calculadas diretamente pelo módulo via erosão morfológica binária usando a função scipy.ndimage.binary_erosion(). A lógica é a seguinte:</w:t>
      </w:r>
    </w:p>
    <w:p>
      <w:pPr>
        <w:spacing w:after="160" w:before="0" w:line="360"/>
        <w:ind w:firstLine="709"/>
        <w:jc w:val="both"/>
      </w:pPr>
      <w:r>
        <w:rPr>
          <w:rFonts w:ascii="Times New Roman" w:cs="Times New Roman" w:eastAsia="Times New Roman" w:hAnsi="Times New Roman"/>
          <w:b w:val="false"/>
          <w:bCs w:val="false"/>
          <w:sz w:val="24"/>
          <w:szCs w:val="24"/>
        </w:rPr>
        <w:t xml:space="preserve">(1) Uma máscara binária é criada para os pixels da classe analisada no array N1. (2) Um elemento estruturante circular (kernel) de raio r pixels é gerado via ogrid do numpy. (3) A erosão é aplicada com binary_erosion(mask, structure=kernel), retendo apenas os pixels cujos vizinhos em todas as direções dentro do raio r também pertencem à classe — ou seja, pixels genuinamente interiores, não afetados pelo efeito de borda. (4) Os pixels remanescentes constituem a área núcleo. (5) scipy.ndimage.label() é usado para identificar os componentes conectados da área núcleo, fornecendo o número de ilhas de habitat interior (NDCA).</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200"/>
        <w:gridCol w:w="5872"/>
      </w:tblGrid>
      <w:tr>
        <w:trPr>
          <w:tblHeader/>
        </w:trP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Sigla</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Unidade</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Tema</w:t>
            </w:r>
          </w:p>
        </w:tc>
        <w:tc>
          <w:tcPr>
            <w:tcW w:type="dxa" w:w="58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Descrição</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TCA</w:t>
            </w:r>
          </w:p>
        </w:tc>
        <w:tc>
          <w:tcPr>
            <w:tcW w:type="dxa" w:w="11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ha</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Núcleo</w:t>
            </w:r>
          </w:p>
        </w:tc>
        <w:tc>
          <w:tcPr>
            <w:tcW w:type="dxa" w:w="5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Total Core Area: soma dos pixels de área núcleo × área do pixel. Indica o habitat efetivamente funcional, não afetado pelo efeito de borda.</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CORE_MN</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ha</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Núcleo</w:t>
            </w:r>
          </w:p>
        </w:tc>
        <w:tc>
          <w:tcPr>
            <w:tcW w:type="dxa" w:w="58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Mean Core Area per patch: TCA dividida pelo número de fragmentos. Distingue paisagens com muitos fragmentos pequenos de paisagens com fragmentos grandes e funcionais.</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NDCA</w:t>
            </w:r>
          </w:p>
        </w:tc>
        <w:tc>
          <w:tcPr>
            <w:tcW w:type="dxa" w:w="11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n</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Área Núcleo</w:t>
            </w:r>
          </w:p>
        </w:tc>
        <w:tc>
          <w:tcPr>
            <w:tcW w:type="dxa" w:w="5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Number of Disjunct Core Areas: número de áreas núcleo desconectadas. Um único fragmento pode conter múltiplas áreas núcleo separadas por corredores estreitos.</w:t>
            </w:r>
          </w:p>
        </w:tc>
      </w:tr>
    </w:tbl>
    <w:p>
      <w:pPr>
        <w:spacing w:after="120" w:before="0"/>
      </w:pPr>
    </w:p>
    <w:p>
      <w:pPr>
        <w:pStyle w:val="Heading3"/>
        <w:spacing w:after="80" w:before="200" w:line="276"/>
      </w:pPr>
      <w:r>
        <w:rPr>
          <w:rFonts w:ascii="Times New Roman" w:cs="Times New Roman" w:eastAsia="Times New Roman" w:hAnsi="Times New Roman"/>
          <w:b w:val="false"/>
          <w:bCs w:val="false"/>
          <w:sz w:val="24"/>
          <w:szCs w:val="24"/>
        </w:rPr>
        <w:t xml:space="preserve">4.4.1  Distância de borda e equivalência entre coleções</w:t>
      </w:r>
    </w:p>
    <w:p>
      <w:pPr>
        <w:spacing w:after="160" w:before="0" w:line="360"/>
        <w:ind w:firstLine="709"/>
        <w:jc w:val="both"/>
      </w:pPr>
      <w:r>
        <w:rPr>
          <w:rFonts w:ascii="Times New Roman" w:cs="Times New Roman" w:eastAsia="Times New Roman" w:hAnsi="Times New Roman"/>
          <w:b w:val="false"/>
          <w:bCs w:val="false"/>
          <w:sz w:val="24"/>
          <w:szCs w:val="24"/>
        </w:rPr>
        <w:t xml:space="preserve">A distância de borda é configurada pelo usuário em pixels (padrão: 3 pixels), e o módulo exibe em tempo real a distância equivalente em metros e a correspondência entre Landsat e Sentinel:</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072"/>
      </w:tblGrid>
      <w:tr>
        <w:trPr>
          <w:tblHeader/>
        </w:trP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Coleção</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N.º de pixels</w:t>
            </w:r>
          </w:p>
        </w:tc>
        <w:tc>
          <w:tcPr>
            <w:tcW w:type="dxa" w:w="16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Distância (m)</w:t>
            </w:r>
          </w:p>
        </w:tc>
        <w:tc>
          <w:tcPr>
            <w:tcW w:type="dxa" w:w="40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Equivalência</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Landsat 30m</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 px</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90 m</w:t>
            </w:r>
          </w:p>
        </w:tc>
        <w:tc>
          <w:tcPr>
            <w:tcW w:type="dxa" w:w="40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Equivale a 9 pixels no Sentinel-2 (10m)</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Sentinel-2 10m</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 px</w:t>
            </w:r>
          </w:p>
        </w:tc>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 m</w:t>
            </w:r>
          </w:p>
        </w:tc>
        <w:tc>
          <w:tcPr>
            <w:tcW w:type="dxa" w:w="40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Equivale a 1 pixel no Landsat (30m)</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Landsat 30m</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 px</w:t>
            </w:r>
          </w:p>
        </w:tc>
        <w:tc>
          <w:tcPr>
            <w:tcW w:type="dxa" w:w="16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30 m</w:t>
            </w:r>
          </w:p>
        </w:tc>
        <w:tc>
          <w:tcPr>
            <w:tcW w:type="dxa" w:w="40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Equivale a 3 pixels no Sentinel-2</w:t>
            </w:r>
          </w:p>
        </w:tc>
      </w:tr>
    </w:tbl>
    <w:p>
      <w:pPr>
        <w:spacing w:after="12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Limitação crítica: para comparação entre rasters Landsat e Sentinel-2, o número de pixels de borda deve ser ajustado para que a distância real em metros seja equivalente. Usar 3 pixels em ambas as coleções produzirá resultados de área núcleo incomparáveis (90m vs. 30m de distância efetiva).</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4.5  Métricas de Paisagem — PyLandStats</w:t>
      </w:r>
    </w:p>
    <w:p>
      <w:pPr>
        <w:spacing w:after="160" w:before="0" w:line="360"/>
        <w:ind w:firstLine="709"/>
        <w:jc w:val="both"/>
      </w:pPr>
      <w:r>
        <w:rPr>
          <w:rFonts w:ascii="Times New Roman" w:cs="Times New Roman" w:eastAsia="Times New Roman" w:hAnsi="Times New Roman"/>
          <w:b w:val="false"/>
          <w:bCs w:val="false"/>
          <w:sz w:val="24"/>
          <w:szCs w:val="24"/>
        </w:rPr>
        <w:t xml:space="preserve">Adicionalmente às métricas de classe, o módulo calcula duas métricas em nível de paisagem, que descrevem a estrutura geral do recorte independentemente das classes analisadas:</w:t>
      </w:r>
    </w:p>
    <w:p>
      <w:pPr>
        <w:spacing w:after="60" w:before="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2200"/>
        <w:gridCol w:w="4872"/>
      </w:tblGrid>
      <w:tr>
        <w:trPr>
          <w:tblHeader/>
        </w:trPr>
        <w:tc>
          <w:tcPr>
            <w:tcW w:type="dxa" w:w="9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Sigla</w:t>
            </w:r>
          </w:p>
        </w:tc>
        <w:tc>
          <w:tcPr>
            <w:tcW w:type="dxa" w:w="11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Unidade</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Nomenclatura PyLandStats</w:t>
            </w:r>
          </w:p>
        </w:tc>
        <w:tc>
          <w:tcPr>
            <w:tcW w:type="dxa" w:w="48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Descrição</w:t>
            </w:r>
          </w:p>
        </w:tc>
      </w:tr>
      <w:tr>
        <w:tc>
          <w:tcPr>
            <w:tcW w:type="dxa" w:w="9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MESH</w:t>
            </w:r>
          </w:p>
        </w:tc>
        <w:tc>
          <w:tcPr>
            <w:tcW w:type="dxa" w:w="11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ha</w:t>
            </w:r>
          </w:p>
        </w:tc>
        <w:tc>
          <w:tcPr>
            <w:tcW w:type="dxa" w:w="2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effective_mesh_size</w:t>
            </w:r>
          </w:p>
        </w:tc>
        <w:tc>
          <w:tcPr>
            <w:tcW w:type="dxa" w:w="4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Tamanho efetivo da malha: probabilidade de dois pontos aleatórios estarem na mesma mancha, expressa em área. Decresce com a fragmentação.</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LSI</w:t>
            </w:r>
          </w:p>
        </w:tc>
        <w:tc>
          <w:tcPr>
            <w:tcW w:type="dxa" w:w="11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adim.</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landscape_shape_index</w:t>
            </w:r>
          </w:p>
        </w:tc>
        <w:tc>
          <w:tcPr>
            <w:tcW w:type="dxa" w:w="48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Índice de forma da paisagem: razão entre o perímetro total de manchas e o perímetro mínimo teórico. Aumenta com a complexidade e fragmentação.</w:t>
            </w:r>
          </w:p>
        </w:tc>
      </w:tr>
    </w:tbl>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4.6  Saídas Geradas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72"/>
      </w:tblGrid>
      <w:tr>
        <w:trPr>
          <w:tblHeader/>
        </w:trP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Arquivo</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Aba</w:t>
            </w:r>
          </w:p>
        </w:tc>
        <w:tc>
          <w:tcPr>
            <w:tcW w:type="dxa" w:w="47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Conteúdo</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ano1_ano2_paisagem.xlsx</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Metricas</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Tidy: recorte | grupo | tema | metrica | unidade | ano | valor. Uma linha por observação.</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Paisagem</w:t>
            </w:r>
          </w:p>
        </w:tc>
        <w:tc>
          <w:tcPr>
            <w:tcW w:type="dxa" w:w="4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Tidy: recorte | metrica | unidade | ano | valor. Métricas MESH e LSI separadas das métricas de classe.</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Variacoes</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Tidy: recorte | grupo | metrica | unidade | valor_ano1 | valor_ano2 | delta_abs | delta_pct. Variações pré-calculadas entre os dois anos.</w:t>
            </w:r>
          </w:p>
        </w:tc>
      </w:tr>
      <w:tr>
        <w:tc>
          <w:tcPr>
            <w:tcW w:type="dxa" w:w="2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ano_recorte_nucleo_grupo.tif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Raster uint8</w:t>
            </w:r>
          </w:p>
        </w:tc>
        <w:tc>
          <w:tcPr>
            <w:tcW w:type="dxa" w:w="47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Raster binário: valor 1 = pixel de área núcleo; valor 0 = nodata. Gerado por grupo × ano. Compressão LZW.</w:t>
            </w:r>
          </w:p>
        </w:tc>
      </w:tr>
      <w:tr>
        <w:tc>
          <w:tcPr>
            <w:tcW w:type="dxa" w:w="2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ano_recorte_nucleo_grupo.qml</w:t>
            </w:r>
          </w:p>
        </w:tc>
        <w:tc>
          <w:tcPr>
            <w:tcW w:type="dxa" w:w="15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Estilo QGIS</w:t>
            </w:r>
          </w:p>
        </w:tc>
        <w:tc>
          <w:tcPr>
            <w:tcW w:type="dxa" w:w="47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Paletted renderer: valor 0 = transparente; valor 1 = cor do grupo (verde para Floresta, azul para Corpo D'água, etc.). Aplicado automaticamente ao importar o TIF.</w:t>
            </w:r>
          </w:p>
        </w:tc>
      </w:tr>
    </w:tbl>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4.7  Limitações do Módulo II</w:t>
      </w: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1. PyLandStats e nodata: o PyLandStats requer que o valor 0 seja reservado como nodata. O módulo converte todos os pixels inválidos para 0 antes de passar o array à biblioteca. Rasters com valor 0 como classe válida de cobertura produzirão resultados incorretos.</w:t>
      </w:r>
    </w:p>
    <w:p>
      <w:pPr>
        <w:spacing w:after="6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2. Escala de análise e resolução: métricas de fragmentação são fortemente sensíveis à resolução espacial. Resultados de NP, AREA_MN e TCA obtidos com Landsat (30m) e Sentinel-2 (10m) não são diretamente comparáveis mesmo quando representam o mesmo território e ano, devido ao efeito de escala na detecção de fragmentos.</w:t>
      </w:r>
    </w:p>
    <w:p>
      <w:pPr>
        <w:spacing w:after="6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3. Grupo Cobertura Natural combinado: ao combinar Floresta e Vegetação Herbácea em um único grupo, o plugin cria um array sintético. A métrica TE desse grupo reflete apenas as bordas externas contra classes antrópicas e corpos d'água, não as bordas internas entre Floresta e Vegetação Herbácea.</w:t>
      </w:r>
    </w:p>
    <w:p>
      <w:pPr>
        <w:spacing w:after="60" w:before="0"/>
      </w:pPr>
    </w:p>
    <w:p>
      <w:pPr>
        <w:pBdr>
          <w:left w:val="single" w:color="BF360C" w:sz="16" w:space="8"/>
        </w:pBdr>
        <w:spacing w:after="80" w:before="80" w:line="300"/>
        <w:ind w:left="567" w:right="567"/>
        <w:jc w:val="both"/>
      </w:pPr>
      <w:r>
        <w:rPr>
          <w:rFonts w:ascii="Times New Roman" w:cs="Times New Roman" w:eastAsia="Times New Roman" w:hAnsi="Times New Roman"/>
          <w:color w:val="BF360C"/>
          <w:sz w:val="20"/>
          <w:szCs w:val="20"/>
        </w:rPr>
        <w:t xml:space="preserve">4. Requisito PyLandStats: a biblioteca PyLandStats é instalada automaticamente na primeira execução via pip. Em ambientes com restrições de rede ou permissões, a instalação pode falhar. Nesse caso, o módulo opera sem as métricas PyLandStats, produzindo apenas TCA, CORE_MN e NDCA.</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5  ESTRUTURA TÉCNICA E DEPENDÊNCIAS</w:t>
      </w:r>
    </w:p>
    <w:p>
      <w:pPr>
        <w:pStyle w:val="Heading2"/>
        <w:spacing w:after="120" w:before="240" w:line="276"/>
      </w:pPr>
      <w:r>
        <w:rPr>
          <w:rFonts w:ascii="Times New Roman" w:cs="Times New Roman" w:eastAsia="Times New Roman" w:hAnsi="Times New Roman"/>
          <w:b/>
          <w:bCs/>
          <w:color w:val="2E5F8A"/>
          <w:sz w:val="24"/>
          <w:szCs w:val="24"/>
        </w:rPr>
        <w:t xml:space="preserve">5.1  Arquitetura dos plugins</w:t>
      </w:r>
    </w:p>
    <w:p>
      <w:pPr>
        <w:spacing w:after="160" w:before="0" w:line="360"/>
        <w:ind w:firstLine="709"/>
        <w:jc w:val="both"/>
      </w:pPr>
      <w:r>
        <w:rPr>
          <w:rFonts w:ascii="Times New Roman" w:cs="Times New Roman" w:eastAsia="Times New Roman" w:hAnsi="Times New Roman"/>
          <w:b w:val="false"/>
          <w:bCs w:val="false"/>
          <w:sz w:val="24"/>
          <w:szCs w:val="24"/>
        </w:rPr>
        <w:t xml:space="preserve">Cada módulo é um pacote Python independente instalado no diretório de plugins do QGIS. A estrutura de arquivos de cada módulo segue o padrão QGIS para plugins em Python:</w:t>
      </w:r>
    </w:p>
    <w:p>
      <w:pPr>
        <w:spacing w:after="60" w:before="0"/>
      </w:pP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anp_monitoria/          ← Módulo I</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__init__.py           ← Ponto de entrada (classFactory)</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metadata.txt          ← Nome, versão, autor, dependências</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plugin.py             ← Registro no menu Complementos → AnP</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dialog.py             ← Interface PyQt5 (diálogo modal)</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legenda.py            ← Hierarquia N1–N4, grupos, categorias</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processamento.py      ← Leitura GDAL, agregação, contagem</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excel_saida.py        ← Geração das planilhas tidy</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xlsx_writer.py        ← Escritor .xlsx puro Python (sem openpyxl)</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qml_gerador.py        ← Raster de mudanças + QML QGIS 3.x</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instalador.py         ← Auto-instalação de dependências via pip</w:t>
      </w:r>
    </w:p>
    <w:p>
      <w:pPr>
        <w:spacing w:after="120" w:before="0"/>
      </w:pP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anp_fragmentacao/       ← Módulo II</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__init__.py / metadata.txt / plugin.py / dialog.py / instalador.py</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legenda.py            ← Grupos N1, métricas, MAPA_N1</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processamento.py      ← Agregação N1, PyLandStats, erosão</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excel_saida.py        ← Planilhas tidy (Metricas, Paisagem, Variacoes)</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raster_nucleo.py      ← TIFs binários de área núcleo + QML</w:t>
      </w:r>
    </w:p>
    <w:p>
      <w:pPr>
        <w:pBdr>
          <w:left w:val="single" w:color="2E5F8A" w:sz="12" w:space="6"/>
        </w:pBdr>
        <w:shd w:fill="F0F4FA" w:val="clear"/>
        <w:spacing w:after="60" w:before="0" w:line="240"/>
        <w:ind w:left="284"/>
      </w:pPr>
      <w:r>
        <w:rPr>
          <w:rFonts w:ascii="Courier New" w:cs="Courier New" w:eastAsia="Courier New" w:hAnsi="Courier New"/>
          <w:color w:val="1F1F1F"/>
          <w:sz w:val="20"/>
          <w:szCs w:val="20"/>
        </w:rPr>
        <w:t xml:space="preserve">  xlsx_writer.py        ← Escritor .xlsx puro Python</w:t>
      </w:r>
    </w:p>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5.2  Dependências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400"/>
        <w:gridCol w:w="3872"/>
      </w:tblGrid>
      <w:tr>
        <w:trPr>
          <w:tblHeader/>
        </w:trPr>
        <w:tc>
          <w:tcPr>
            <w:tcW w:type="dxa" w:w="1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Biblioteca</w:t>
            </w:r>
          </w:p>
        </w:tc>
        <w:tc>
          <w:tcPr>
            <w:tcW w:type="dxa" w:w="8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Versão</w:t>
            </w:r>
          </w:p>
        </w:tc>
        <w:tc>
          <w:tcPr>
            <w:tcW w:type="dxa" w:w="12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Módulo</w:t>
            </w:r>
          </w:p>
        </w:tc>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Instalação</w:t>
            </w:r>
          </w:p>
        </w:tc>
        <w:tc>
          <w:tcPr>
            <w:tcW w:type="dxa" w:w="3872"/>
            <w:tcBorders>
              <w:top w:val="single" w:color="000000" w:sz="6"/>
              <w:left w:val="single" w:color="000000" w:sz="6"/>
              <w:bottom w:val="single" w:color="000000" w:sz="6"/>
              <w:right w:val="single" w:color="000000" w:sz="6"/>
            </w:tcBorders>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Finalidade</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GDAL / OGR</w:t>
            </w:r>
          </w:p>
        </w:tc>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3.0</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 e II</w:t>
            </w:r>
          </w:p>
        </w:tc>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QGIS (nativa)</w:t>
            </w:r>
          </w:p>
        </w:tc>
        <w:tc>
          <w:tcPr>
            <w:tcW w:type="dxa" w:w="3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Leitura de rasters e vetores; geotransform; rasterização</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NumPy</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1.20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 e II</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QGIS (nativa)</w:t>
            </w:r>
          </w:p>
        </w:tc>
        <w:tc>
          <w:tcPr>
            <w:tcW w:type="dxa" w:w="38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Arrays de pixels; operações vetorizadas; máscaras booleanas</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SciPy</w:t>
            </w:r>
          </w:p>
        </w:tc>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1.7</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II</w:t>
            </w:r>
          </w:p>
        </w:tc>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auto-pip</w:t>
            </w:r>
          </w:p>
        </w:tc>
        <w:tc>
          <w:tcPr>
            <w:tcW w:type="dxa" w:w="3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Erosão morfológica (binary_erosion) e rotulagem de componentes (label) para cálculo de área núcleo</w:t>
            </w:r>
          </w:p>
        </w:tc>
      </w:tr>
      <w:tr>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PyLandStats</w:t>
            </w:r>
          </w:p>
        </w:tc>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3.0</w:t>
            </w:r>
          </w:p>
        </w:tc>
        <w:tc>
          <w:tcPr>
            <w:tcW w:type="dxa" w:w="12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II</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auto-pip</w:t>
            </w:r>
          </w:p>
        </w:tc>
        <w:tc>
          <w:tcPr>
            <w:tcW w:type="dxa" w:w="3872"/>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Métricas de fragmentação: CA, PLAND, LPI, NP, PD, AREA_MN, TE, ED, SHAPE_MN, MESH, LSI</w:t>
            </w:r>
          </w:p>
        </w:tc>
      </w:tr>
      <w:tr>
        <w:tc>
          <w:tcPr>
            <w:tcW w:type="dxa" w:w="1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PyQt5</w:t>
            </w:r>
          </w:p>
        </w:tc>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 5.12</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I e II</w:t>
            </w:r>
          </w:p>
        </w:tc>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QGIS (nativa)</w:t>
            </w:r>
          </w:p>
        </w:tc>
        <w:tc>
          <w:tcPr>
            <w:tcW w:type="dxa" w:w="3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Interface gráfica: diálogos, ComboBox, SpinBox, QThread para processamento assíncrono</w:t>
            </w:r>
          </w:p>
        </w:tc>
      </w:tr>
    </w:tbl>
    <w:p>
      <w:pPr>
        <w:spacing w:after="120" w:before="0"/>
      </w:pPr>
    </w:p>
    <w:p>
      <w:pPr>
        <w:pStyle w:val="Heading2"/>
        <w:spacing w:after="120" w:before="240" w:line="276"/>
      </w:pPr>
      <w:r>
        <w:rPr>
          <w:rFonts w:ascii="Times New Roman" w:cs="Times New Roman" w:eastAsia="Times New Roman" w:hAnsi="Times New Roman"/>
          <w:b/>
          <w:bCs/>
          <w:color w:val="2E5F8A"/>
          <w:sz w:val="24"/>
          <w:szCs w:val="24"/>
        </w:rPr>
        <w:t xml:space="preserve">5.3  Processamento assíncrono</w:t>
      </w:r>
    </w:p>
    <w:p>
      <w:pPr>
        <w:spacing w:after="160" w:before="0" w:line="360"/>
        <w:ind w:firstLine="709"/>
        <w:jc w:val="both"/>
      </w:pPr>
      <w:r>
        <w:rPr>
          <w:rFonts w:ascii="Times New Roman" w:cs="Times New Roman" w:eastAsia="Times New Roman" w:hAnsi="Times New Roman"/>
          <w:b w:val="false"/>
          <w:bCs w:val="false"/>
          <w:sz w:val="24"/>
          <w:szCs w:val="24"/>
        </w:rPr>
        <w:t xml:space="preserve">Todo o processamento computacional é executado em uma thread separada (QThread), impedindo que o QGIS congele durante análises longas. A comunicação entre a thread de processamento e a interface gráfica é feita via sinais Qt (pyqtSignal): o sinal progresso emite mensagens de texto que são exibidas no log; o sinal concluido emite a lista de arquivos gerados ao final; e o sinal erro captura exceções e as exibe em caixa de diálogo. Essa arquitetura garante que o usuário possa acompanhar o andamento e que erros sejam reportados de forma legível.</w:t>
      </w:r>
    </w:p>
    <w:p>
      <w:pPr>
        <w:pStyle w:val="Heading2"/>
        <w:spacing w:after="120" w:before="240" w:line="276"/>
      </w:pPr>
      <w:r>
        <w:rPr>
          <w:rFonts w:ascii="Times New Roman" w:cs="Times New Roman" w:eastAsia="Times New Roman" w:hAnsi="Times New Roman"/>
          <w:b/>
          <w:bCs/>
          <w:color w:val="2E5F8A"/>
          <w:sz w:val="24"/>
          <w:szCs w:val="24"/>
        </w:rPr>
        <w:t xml:space="preserve">5.4  Escritor Excel puro Python (xlsx_writer)</w:t>
      </w:r>
    </w:p>
    <w:p>
      <w:pPr>
        <w:spacing w:after="160" w:before="0" w:line="360"/>
        <w:ind w:firstLine="709"/>
        <w:jc w:val="both"/>
      </w:pPr>
      <w:r>
        <w:rPr>
          <w:rFonts w:ascii="Times New Roman" w:cs="Times New Roman" w:eastAsia="Times New Roman" w:hAnsi="Times New Roman"/>
          <w:b w:val="false"/>
          <w:bCs w:val="false"/>
          <w:sz w:val="24"/>
          <w:szCs w:val="24"/>
        </w:rPr>
        <w:t xml:space="preserve">Ambos os módulos utilizam um escritor de arquivos .xlsx implementado integralmente em Python puro, sem dependência das bibliotecas openpyxl ou xlsxwriter. O arquivo é montado diretamente no formato Open XML (.xlsx = arquivo ZIP contendo XMLs), com suporte a: estilos de célula (fundo, borda, formato numérico, negrito), largura de coluna configurável, altura de linha, e compartilhamento de strings. Essa escolha elimina uma dependência externa e garante que o módulo funcione mesmo em ambientes QGIS onde a instalação de pacotes pip é restrita.</w:t>
      </w:r>
    </w:p>
    <w:p>
      <w:pPr>
        <w:pStyle w:val="Heading1"/>
        <w:pBdr>
          <w:bottom w:val="single" w:color="1F3864" w:sz="8" w:space="4"/>
        </w:pBdr>
        <w:spacing w:after="160" w:before="360" w:line="276"/>
      </w:pPr>
      <w:r>
        <w:rPr>
          <w:rFonts w:ascii="Times New Roman" w:cs="Times New Roman" w:eastAsia="Times New Roman" w:hAnsi="Times New Roman"/>
          <w:b/>
          <w:bCs/>
          <w:color w:val="1F3864"/>
          <w:sz w:val="28"/>
          <w:szCs w:val="28"/>
        </w:rPr>
        <w:t xml:space="preserve">6  REFERÊNCIAS</w:t>
      </w:r>
    </w:p>
    <w:p>
      <w:pPr>
        <w:spacing w:after="160" w:before="0" w:line="360"/>
        <w:ind w:left="0" w:hanging="0"/>
        <w:jc w:val="both"/>
      </w:pPr>
      <w:r>
        <w:rPr>
          <w:rFonts w:ascii="Times New Roman" w:cs="Times New Roman" w:eastAsia="Times New Roman" w:hAnsi="Times New Roman"/>
          <w:sz w:val="22"/>
          <w:szCs w:val="22"/>
        </w:rPr>
        <w:t xml:space="preserve">MAPBIOMAS. Coleção 10 da série anual de mapas de cobertura e uso da terra do Brasil. Disponível em: &lt;https://mapbiomas.org&gt;. Acesso em: 2025.</w:t>
      </w:r>
    </w:p>
    <w:p>
      <w:pPr>
        <w:spacing w:after="160" w:before="0" w:line="360"/>
        <w:ind w:left="0" w:hanging="0"/>
        <w:jc w:val="both"/>
      </w:pPr>
      <w:r>
        <w:rPr>
          <w:rFonts w:ascii="Times New Roman" w:cs="Times New Roman" w:eastAsia="Times New Roman" w:hAnsi="Times New Roman"/>
          <w:sz w:val="22"/>
          <w:szCs w:val="22"/>
        </w:rPr>
        <w:t xml:space="preserve">McGARIGAL, K.; MARKS, B. J. FRAGSTATS: spatial pattern analysis program for quantifying landscape structure. Portland: USDA Forest Service, 1995. (General Technical Report PNW-GTR-351).</w:t>
      </w:r>
    </w:p>
    <w:p>
      <w:pPr>
        <w:spacing w:after="160" w:before="0" w:line="360"/>
        <w:ind w:left="0" w:hanging="0"/>
        <w:jc w:val="both"/>
      </w:pPr>
      <w:r>
        <w:rPr>
          <w:rFonts w:ascii="Times New Roman" w:cs="Times New Roman" w:eastAsia="Times New Roman" w:hAnsi="Times New Roman"/>
          <w:sz w:val="22"/>
          <w:szCs w:val="22"/>
        </w:rPr>
        <w:t xml:space="preserve">NOWOSAD, J.; STEPINSKI, T. F. Information theory as a consistent framework for quantification and classification of landscape patterns. Landscape Ecology, v. 34, n. 9, p. 2091–2103, 2019.</w:t>
      </w:r>
    </w:p>
    <w:p>
      <w:pPr>
        <w:spacing w:after="160" w:before="0" w:line="360"/>
        <w:ind w:left="0" w:hanging="0"/>
        <w:jc w:val="both"/>
      </w:pPr>
      <w:r>
        <w:rPr>
          <w:rFonts w:ascii="Times New Roman" w:cs="Times New Roman" w:eastAsia="Times New Roman" w:hAnsi="Times New Roman"/>
          <w:sz w:val="22"/>
          <w:szCs w:val="22"/>
        </w:rPr>
        <w:t xml:space="preserve">PYTHON LANDS STATS. PyLandStats: an open-source Pythonic library to compute landscape metrics. Disponível em: &lt;https://pylandstats.readthedocs.io&gt;. Acesso em: 2025.</w:t>
      </w:r>
    </w:p>
    <w:p>
      <w:pPr>
        <w:spacing w:after="160" w:before="0" w:line="360"/>
        <w:ind w:left="0" w:hanging="0"/>
        <w:jc w:val="both"/>
      </w:pPr>
      <w:r>
        <w:rPr>
          <w:rFonts w:ascii="Times New Roman" w:cs="Times New Roman" w:eastAsia="Times New Roman" w:hAnsi="Times New Roman"/>
          <w:sz w:val="22"/>
          <w:szCs w:val="22"/>
        </w:rPr>
        <w:t xml:space="preserve">QGIS DEVELOPMENT TEAM. QGIS Geographic Information System. Open Source Geospatial Foundation Project. Disponível em: &lt;https://qgis.org&gt;. Acesso em: 2025.</w:t>
      </w:r>
    </w:p>
    <w:p>
      <w:pPr>
        <w:spacing w:after="160" w:before="0" w:line="360"/>
        <w:ind w:left="0" w:hanging="0"/>
        <w:jc w:val="both"/>
      </w:pPr>
      <w:r>
        <w:rPr>
          <w:rFonts w:ascii="Times New Roman" w:cs="Times New Roman" w:eastAsia="Times New Roman" w:hAnsi="Times New Roman"/>
          <w:sz w:val="22"/>
          <w:szCs w:val="22"/>
        </w:rPr>
        <w:t xml:space="preserve">SCIPY. SciPy: fundamental algorithms for scientific computing in Python. Disponível em: &lt;https://scipy.org&gt;. Acesso em: 2025.</w:t>
      </w:r>
    </w:p>
    <w:p>
      <w:pPr>
        <w:spacing w:after="120" w:before="0"/>
      </w:pPr>
    </w:p>
    <w:p>
      <w:pPr>
        <w:pBdr>
          <w:top w:val="single" w:color="1F3864" w:sz="4" w:space="4"/>
        </w:pBdr>
        <w:spacing w:after="0" w:before="567"/>
        <w:jc w:val="center"/>
      </w:pPr>
      <w:r>
        <w:rPr>
          <w:rFonts w:ascii="Times New Roman" w:cs="Times New Roman" w:eastAsia="Times New Roman" w:hAnsi="Times New Roman"/>
          <w:color w:val="666666"/>
          <w:sz w:val="18"/>
          <w:szCs w:val="18"/>
        </w:rPr>
        <w:t xml:space="preserve">AnP v1.1/1.0  |  DGPA/IGCE — Unesp Rio Claro  |  rodrigo.s.lemos@unesp.br</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Times New Roman" w:cs="Times New Roman" w:eastAsia="Times New Roman" w:hAnsi="Times New Roman"/>
        <w:color w:val="666666"/>
        <w:sz w:val="16"/>
        <w:szCs w:val="16"/>
      </w:rPr>
      <w:t xml:space="preserve">AnP — Análise da Paisagem  |  Documentação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2026-06-20T14:53:22.518Z</dcterms:created>
  <dcterms:modified xsi:type="dcterms:W3CDTF">2026-06-20T14:53:22.538Z</dcterms:modified>
</cp:coreProperties>
</file>

<file path=docProps/custom.xml><?xml version="1.0" encoding="utf-8"?>
<Properties xmlns="http://schemas.openxmlformats.org/officeDocument/2006/custom-properties" xmlns:vt="http://schemas.openxmlformats.org/officeDocument/2006/docPropsVTypes"/>
</file>