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400" w:before="0"/>
      </w:pPr>
      <w:r>
        <w:rPr>
          <w:rFonts w:ascii="Arial" w:cs="Arial" w:eastAsia="Arial" w:hAnsi="Arial"/>
          <w:color w:val="111111"/>
          <w:spacing w:val="40"/>
          <w:sz w:val="22"/>
          <w:szCs w:val="22"/>
        </w:rPr>
        <w:t xml:space="preserve">ACORN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   /    </w:t>
      </w:r>
      <w:r>
        <w:rPr>
          <w:rFonts w:ascii="Arial" w:cs="Arial" w:eastAsia="Arial" w:hAnsi="Arial"/>
          <w:color w:val="111111"/>
          <w:spacing w:val="8"/>
          <w:sz w:val="22"/>
          <w:szCs w:val="22"/>
        </w:rPr>
        <w:t xml:space="preserve">Celsius</w:t>
      </w:r>
    </w:p>
    <w:p>
      <w:pPr>
        <w:spacing w:after="240" w:before="0"/>
      </w:pPr>
      <w:r>
        <w:rPr>
          <w:rFonts w:ascii="Consolas" w:cs="Consolas" w:eastAsia="Consolas" w:hAnsi="Consolas"/>
          <w:color w:val="2D2D2D"/>
          <w:spacing w:val="24"/>
          <w:sz w:val="16"/>
          <w:szCs w:val="16"/>
        </w:rPr>
        <w:t xml:space="preserve">§01    DOCUMENTO DE ARQUITECTURA    CONFIDENCIAL    2026-05-28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84"/>
          <w:szCs w:val="84"/>
        </w:rPr>
        <w:t xml:space="preserve">Cotizador de unidades</w:t>
      </w:r>
    </w:p>
    <w:p>
      <w:pPr>
        <w:spacing w:after="240" w:before="0"/>
      </w:pPr>
      <w:r>
        <w:rPr>
          <w:rFonts w:ascii="Arial" w:cs="Arial" w:eastAsia="Arial" w:hAnsi="Arial"/>
          <w:color w:val="2D2D2D"/>
          <w:sz w:val="36"/>
          <w:szCs w:val="36"/>
        </w:rPr>
        <w:t xml:space="preserve">Plataforma B2C para brokers · v0.1</w:t>
      </w:r>
    </w:p>
    <w:p>
      <w:pPr>
        <w:spacing w:after="480" w:before="480" w:line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Arquitectura técnica, modelo de datos, flujos de usuario y plan de implementación para el cotizador de departamentos Celsius — diseñado para que brokers internos y externos revisen proyectos, generen cotizaciones con apartado de 24 horas, y mantengan sincronización bidireccional con HubSpot.</w:t>
      </w:r>
    </w:p>
    <w:p>
      <w:pPr>
        <w:pBdr>
          <w:top w:val="single" w:color="111111" w:sz="8" w:space="8"/>
        </w:pBdr>
        <w:spacing w:after="0" w:before="720"/>
      </w:pPr>
      <w:r>
        <w:rPr>
          <w:rFonts w:ascii="Consolas" w:cs="Consolas" w:eastAsia="Consolas" w:hAnsi="Consolas"/>
          <w:color w:val="2D2D2D"/>
          <w:spacing w:val="24"/>
          <w:sz w:val="14"/>
          <w:szCs w:val="14"/>
        </w:rPr>
        <w:t xml:space="preserve">PREPARADO POR    R. VALENZUELA    ·    CELS-COT-2026.05    ·    V0.1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§02    Resumen ejecutivo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Resumen ejecutivo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cotizador de Celsius es la plataforma operativa que cierra la brecha entre el inventario de unidades y el funnel comercial. Permite que cualquier broker autorizado —interno o externo— consulte proyectos en vivo, visualice disponibilidad por torre y piso, genere cotizaciones formateadas con la identidad ACORN, y bloquee unidades por 24 horas mientras el cliente decide.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HubSpot se mantiene como CRM maestro. La plataforma no reemplaza HubSpot: lo alimenta. Cada cotización crea un Deal, cada cliente nuevo crea un Contact, y cada cambio de etapa en HubSpot se refleja en el inventario en tiempo real vía webhooks. El equipo comercial sigue trabajando en HubSpot; los brokers operan en la plataforma; ambos ven el mismo estado del negocio.</w:t>
      </w:r>
    </w:p>
    <w:p>
      <w:pPr>
        <w:pBdr>
          <w:left w:val="single" w:color="556B5D" w:sz="12" w:space="12"/>
        </w:pBdr>
        <w:spacing w:after="80" w:before="240" w:line="360"/>
        <w:ind w:left="720"/>
      </w:pPr>
      <w:r>
        <w:rPr>
          <w:rFonts w:ascii="Georgia" w:cs="Georgia" w:eastAsia="Georgia" w:hAnsi="Georgia"/>
          <w:i/>
          <w:iCs/>
          <w:color w:val="2D2D2D"/>
          <w:sz w:val="24"/>
          <w:szCs w:val="24"/>
        </w:rPr>
        <w:t xml:space="preserve">La cotización deja de ser un PDF artesanal en Excel y se convierte en un objeto del sistema: trazable, vinculado a inventario, sincronizado con CRM, y vencible.</w:t>
      </w:r>
    </w:p>
    <w:p>
      <w:pPr>
        <w:spacing w:after="240" w:before="0"/>
        <w:ind w:left="72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 Principio operativo · v0.1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Métricas que se desbloquean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Tiempo medio para emitir cotización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: de horas a menos de 5 minutos.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Sobre-venta de unidades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: eliminada por el lock de inventario a nivel base de datos.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Funnel comercial unificado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: visibilidad de todas las cotizaciones, apartados y cierres en HubSpot, sin duplicación de captura.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Onboarding de brokers externos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: las inmobiliarias acceden con su propio usuario y operan con tu inventario en su flujo.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Reportería sobre datos reales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: conversión por proyecto, ticket promedio, performance por broker, días al cierre.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§03    Visión del producto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Visión del producto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cotizador es la primera pieza de software propietario del grupo Celsius. Tiene que sentirse institucional desde la primera pantalla: tipografía editorial, lenguaje preciso, datos antes que decoración. La marca aplica desde el sistema de tokens hasta el formato del número en la cotización.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Audiencias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Tres audiencias usan la plataforma con privilegios distintos: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Broker interno Celsius: acceso completo a todos los proyectos, puede generar cotizaciones, dar de alta clientes, y consultar comisiones.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Broker externo (Coldwell, Sotheby's, RE/MAX, etc.): mismo acceso operativo, pero restringido a los proyectos donde su inmobiliaria tiene convenio.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Administrador Celsius: gestiona inventario, precios, esquemas de pago, asignación de comisiones, biblioteca de assets, y reportería ejecutiva.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No-objetivos del MVP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 mantener el alcance manejable y el time-to-market corto, las siguientes capacidades quedan fuera del MVP y se evalúan para v2: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Portal del cliente final con login propio.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Pagos en línea del enganche.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Firma electrónica completa del contrato de promesa (queda en intención de uso de Mifiel para v2).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Multi-desarrolladora externa (la base de datos lo soporta, pero la UI/UX del MVP asume Celsius como única developer).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 móvil nativa (la PWA cubre el caso de uso móvil del broker).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§04    Stack tecnológico recomendado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Stack tecnológico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recomienda un stack pragmático, optimizado para velocidad de construcción con Claude Code y costo bajo en la fase MVP. Cada decisión se justifica abajo.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Stack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Razón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Next.js 15 · React 19 · TypeScript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router, server components, ecosystem maduro. Claude Code domina este stack.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Estilos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Tailwind CSS + tokens ACORN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Permite codificar el sistema de diseño ACORN como tokens directos.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UI Kit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shadcn/ui personalizado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Componentes copiables; cero dependencia de runtime; brand-able.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 API Routes + tRPC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Typesafe end-to-end. Sin contratos manuales entre frontend y backend.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Zod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Schema único reutilizable entre client, server y DB.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DB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RLS nativo, migraciones simples, free tier generoso.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Supabase Auth + Magic Link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Email/pass; SSO con Google opcional.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Brochures, planos, renders, PDFs de cotización.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Cache/Locks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Apartados 24h vía SETEX (TTL automático).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Jobs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Inngest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Liberación de holds, sync nocturno HubSpot, reintentos.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PDF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React-PDF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Componente React que renderiza PDF respetando tokens ACORN.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Resend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Transaccional. Buen DX. Templates en React.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Firma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Mifiel (México)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NOM-151. Estándar local para promesas y apartados.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PostHog + Supabase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Funnel + heatmaps + datos de negocio en SQL.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Vercel + Supabase Cloud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CI/CD nativo, preview branches, escala automática.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3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Sentry + Axiom</w:t>
            </w:r>
          </w:p>
        </w:tc>
        <w:tc>
          <w:tcPr>
            <w:tcW w:type="dxa" w:w="41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Errores en tiempo real + logs estructurados queryables.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Costos estimados (MVP, primeros 6 meses)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Vercel Pro USD 20/mes. Supabase Pro USD 25/mes. Upstash free → USD 10/mes según volumen. Inngest free → USD 20/mes. Resend USD 20/mes. PostHog free → USD 50/mes. Mifiel pay-per-use (~MXN 15 por firma). Sentry USD 26/mes. Total estimado: USD 150–250/mes los primeros meses, escalable linealmente.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§05    Arquitectura del sistema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Arquitectura del sistema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plataforma se organiza en cuatro capas con responsabilidades claras. El diagrama visual completo está en el prototipo HTML (§08 · Arquitectura). Aquí se documentan las capas, sus contratos y las decisiones de diseño.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Capa 1 — Cliente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Aplicaciones que los usuarios tocan directamente: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Web app del broker — Next.js, responsive, instalable como PWA.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Panel admin Celsius — misma codebase, vistas adicionales protegidas por rol.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Portal del cliente (v2) — micro-app independiente para que el cliente final consulte su cotización.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Capa 2 — Aplicación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Lógica de negocio. Cuatro servicios funcionales conviven en el mismo monorepo Next.js: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API Layer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endpoints tRPC organizados por dominio. Autenticación y autorización por rol en cada llamada.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Quote engine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cálculo del esquema financiero, generación del PDF, creación del Hold en Redis, encolado del sync HubSpot.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HubSpot sync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worker dedicado que consume los eventos del quote engine y los proyecta a HubSpot. Mismo worker escucha webhooks de HubSpot.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Inventory lock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servicio que mantiene los apartados activos en Redis con TTL de 24 horas.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Capa 3 — Datos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Persistencia. PostgreSQL en Supabase es la fuente de verdad. Redis es estado efímero (locks, sesiones, cache). Storage es archivos binarios.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Capa 4 — Servicios externos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HubSpot CRM, Resend (email), Mifiel (firma), PostHog (analytics). Cada uno con un adapter aislado en el código para poder cambiarlo sin propagación.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Principios arquitectónicos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Event-driven, no chatty.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La plataforma y HubSpot se comunican vía eventos discretos, no polling.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Postgres como fuente de verdad operativa.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HubSpot es CRM (relación), Postgres es ERP (inventario, dinero, contratos).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Row Level Security a nivel DB.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Las reglas de autorización viven en Postgres, no en la app.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Audit trail completo.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Toda mutación deja registro en AUDIT_EVENT.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Idempotencia en sync.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Cada operación lleva un client_token único. Reintentos no duplican contacts ni deals.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§06    Modelo de datos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Modelo de datos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Diez entidades principales en el MVP. El diagrama ERD visual está en el prototipo (§09 · Modelo de datos). Aquí se documenta cada tabla y sus invariantes.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Entidades maestras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Entidad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Propósito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Campos críticos</w:t>
            </w:r>
          </w:p>
        </w:tc>
      </w:tr>
      <w:t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Identidad de la desarrolladora (Celsius por defecto, prepara multi-tenant)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 · name · brand_tokens · hubspot_account_id</w:t>
            </w:r>
          </w:p>
        </w:tc>
      </w:tr>
      <w:t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Desarrollo inmobiliario (Solar, Atrio, Cima)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developer_id · name · location · delivery_date · tech_specs</w:t>
            </w:r>
          </w:p>
        </w:tc>
      </w:tr>
      <w:t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Departamento individual dentro de un proyecto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project_id · unit_number · m2 · bedrooms · list_price · status · svg_coords</w:t>
            </w:r>
          </w:p>
        </w:tc>
      </w:tr>
      <w:t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Archivo binario asociado (brochure, render, planta)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 · storage_path · version · tags</w:t>
            </w:r>
          </w:p>
        </w:tc>
      </w:tr>
      <w:t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BROKER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Usuario operativo de la plataforma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 · brokerage · role · hubspot_owner_id · active</w:t>
            </w:r>
          </w:p>
        </w:tc>
      </w:tr>
      <w:t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Cliente final dado de alta por un broker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broker_id · rfc · email · hubspot_contact_id · consent_at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Entidades transaccionales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Entidad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Propósito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Invariante crítico</w:t>
            </w:r>
          </w:p>
        </w:tc>
      </w:tr>
      <w:t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QUOTE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Cotización emitida con esquema financiero y PDF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Inmutable después de enviada</w:t>
            </w:r>
          </w:p>
        </w:tc>
      </w:tr>
      <w:t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UNIT_HOLD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Apartado activo de 24h sobre una unidad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UNIQUE(unit_id) WHERE released_at IS NULL</w:t>
            </w:r>
          </w:p>
        </w:tc>
      </w:tr>
      <w:t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AUDIT_EVENT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Registro de cada mutación a entidades sensibles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Append-only. Nunca se actualiza ni borra.</w:t>
            </w:r>
          </w:p>
        </w:tc>
      </w:tr>
      <w:tr>
        <w:tc>
          <w:tcPr>
            <w:tcW w:type="dxa" w:w="1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HUBSPOT_SYNC_LOG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Bitácora de cada operación de sync con HubSpot</w:t>
            </w:r>
          </w:p>
        </w:tc>
        <w:tc>
          <w:tcPr>
            <w:tcW w:type="dxa" w:w="4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Permite reintentos y reconciliación manual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Decisiones de modelado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developer_id en cada entidad maestra.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Aunque el MVP asume Celsius, el campo prepara para multi-desarrolladora sin migración futura.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UNIT_HOLD como tabla separada (no flag en UNIT).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Permite historial: una unidad puede haber tenido N holds liberados antes de venderse.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Unique constraint parcial en UNIT_HOLD.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 nivel DB, el constraint UNIQUE(unit_id) WHERE released_at IS NULL garantiza sol un hold activo por unidad.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svg_coords en UNIT.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Guarda las coordenadas del polígono dentro del SVG del edificio. Esto permite que el visualizador interactivo funcione.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hubspot_contact_id y hubspot_deal_id como punteros.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Permiten reconciliación bidireccional sin duplicar datos.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consent_at en CLIENT.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Cumple LFPDPPP: registra fecha y vehículo del consentimiento del cliente.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§07    Funcionalidades MVP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Funcionalidades MVP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Listado priorizado de lo que entra en la primera versión productiva. Cada funcionalidad incluye criterio de aceptación operativo.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F01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Login broker (interno + externo)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Broker entra con email/pass; rol y brokerage determinan proyectos visibles.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F02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Catálogo de proyectos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Lista de 3 proyectos con cover, ubicación, rango de precios, disponibilidad agregada.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F03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Ficha técnica de proyecto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Ubicación, niveles, tipologías, amenidades, certificación, planos y brochure descargables.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F04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Visualizador del edificio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SVG interactivo con torres/pisos/unidades coloreadas por disponibilidad.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F05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Ficha técnica de unidad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m², recámaras, baños, cajones, bodega, orientación, vista, precio, planta PDF.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F06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Cotizador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Formulario con unidad, cliente, esquema de pago. Cálculo en tiempo real.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F07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PDF de cotización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Generado server-side con identidad ACORN/Celsius. Descargable y enviable por email.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F08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Apartado 24h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 en "Generar" bloquea unidad 24h en DB y Redis. Cron libera al expirar.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F09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Alta de cliente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Formulario con datos legales. Crea Contact en HubSpot.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F10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Sync HubSpot Contact + Deal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Cliente y cotización crean/actualizan en HubSpot. PDF se adjunta.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F11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Webhook HubSpot inbound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Cambio de etapa en HubSpot afecta el estado en plataforma.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F12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 del broker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Cotizaciones activas, apartados vivos, clientes en pipeline, comisión proyectada.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F13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Biblioteca de assets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Brochures, manuales de marca, plantillas redes sociales, descargables.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F14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Panel admin · inventario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CRUD de proyectos, unidades, precios, esquemas de pago, reglas de bono.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F15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Analytics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Cotizaciones/mes, conversión a reserva, ticket promedio, top brokers, top proyectos.</w:t>
            </w:r>
          </w:p>
        </w:tc>
      </w:tr>
      <w:tr>
        <w:tc>
          <w:tcPr>
            <w:tcW w:type="dxa" w:w="8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pacing w:val="12"/>
                <w:sz w:val="20"/>
                <w:szCs w:val="20"/>
              </w:rPr>
              <w:t xml:space="preserve">F16</w:t>
            </w:r>
          </w:p>
        </w:tc>
        <w:tc>
          <w:tcPr>
            <w:tcW w:type="dxa" w:w="3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 log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Cada mutación queda registrada. Consultable desde admin.</w:t>
            </w:r>
          </w:p>
        </w:tc>
      </w:tr>
    </w:tbl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§08    Flujo de cotización con apartado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Flujo de cotización con apartado 24h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Este es el flujo central de la plataforma. Está diseñado para ser explícito, seguro (atomicidad a nivel DB) y reversible.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Paso a paso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01. El broker selecciona unidad desde el visualizador o el catálogo. La plataforma valida en este momento que la unidad esté disponible.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02. El broker selecciona o da de alta cliente. Si es alta nueva, se ejecuta la creación del Contact en HubSpot de manera síncrona.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03. El broker captura el esquema de pago (modalidad, enganche, mensualidades, banco). El sistema calcula precio neto, bonos aplicables, monto de enganche, mensualidades durante obra y saldo al cierre.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04. El broker revisa el resumen y hace click en "Generar PDF y apartar 24h". A partir de este momento ocurre una transacción atómica: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inserta UNIT_HOLD con expires_at = NOW() + 24 horas.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inserta QUOTE con todos los datos del esquema y el snapshot del precio.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genera el PDF con React-PDF y se sube a Supabase Storage.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actualiza QUOTE.pdf_asset_id.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encola el job de sync HubSpot (asíncrono, no bloquea al broker).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devuelve QUOTE.id al cliente.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05. El job de sync HubSpot crea el Deal en etapa "Apartado 24h", adjunta el PDF como nota, asigna al broker como owner, y crea una Task "Confirmar reserva en 24h".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06. Si el cliente confirma dentro de las 24 horas, el broker mueve el hold a "Reservado" (firma promesa vía Mifiel en v2). En MVP, el broker actualiza manualmente la etapa en HubSpot, lo que dispara el webhook que consolida la venta.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07. Si pasan 24 horas sin confirmación, el cron de Inngest (corre cada minuto) detecta el expiry, marca UNIT_HOLD.released_at, libera la unidad para nuevas cotizaciones, y mueve el Deal a "Lost · expiró" en HubSpot.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Garantías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Atomicidad: el hold y el quote se insertan en la misma transacción. Si una falla, ambas se revierten.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Unicidad: el constraint UNIQUE en UNIT_HOLD previene a nivel DB que dos brokers aparten la misma unidad simultáneamente.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Trazabilidad: cada paso genera un AUDIT_EVENT con actor, payload y timestamp.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Idempotencia del sync: si el sync a HubSpot falla y se reintenta, no duplica el Deal.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§09    Visualizador del edificio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Visualizador del edificio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diferenciación visual más fuerte de la plataforma. Permite al broker mostrarle al cliente —en una sola pantalla— qué unidades quedan, cuáles están apartadas, y cuáles ya se vendieron, con la geometría real del proyecto.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Aproximación técnica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proyecto tiene un SVG base de la torre o conjunto de torres, con un polígono por unidad. Los polígonos son entidades SVG con data-attributes que mapean al unit_id de la base de datos. El estilo (color de fill) se aplica dinámicamente según UNIT.status.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Por qué SVG (y no Three.js / WebGL)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 1000× más simple de mantener — un arquitecto puede actualizar el SVG en Figma o Illustrator.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Funciona en cualquier dispositivo sin GPU.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 inspeccionable y debuggeable como cualquier HTML.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interacción (hover, click, color dinámico) es nativa de SVG + CSS + JS.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 en v2 se justifica un visualizador 3D real, el SVG sirve como capa de fallback.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Capacidades v1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Vista de fachada de la torre con todas las unidades coloreadas por estado.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Click en unidad → abre ficha técnica lateral.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Filtros: tipología (1R, 2R, 3R, PH), rango de precio, vista, piso.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Actualización en tiempo real cuando otro broker aparta una unidad (Supabase realtime).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Capacidades v2 (no MVP)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Vista de planta por nivel con render del layout interno.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Tour 3D con Three.js o un viewer embebido tipo Matterport.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 para mostrar la vista desde la unidad.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§10    Biblioteca de assets de marca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Biblioteca de assets de marca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Los brokers externos pautan Celsius con sus propios canales. La biblioteca centraliza todo el material aprobado para que pauten consistentemente con la identidad ACORN/Celsius.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Categorías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4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Contenido</w:t>
            </w:r>
          </w:p>
        </w:tc>
        <w:tc>
          <w:tcPr>
            <w:tcW w:type="dxa" w:w="17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Brochures comerciales</w:t>
            </w:r>
          </w:p>
        </w:tc>
        <w:tc>
          <w:tcPr>
            <w:tcW w:type="dxa" w:w="54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Uno por proyecto. Incluyen storytelling, plantas tipo, amenidades, ubicación, render exterior.</w:t>
            </w:r>
          </w:p>
        </w:tc>
        <w:tc>
          <w:tcPr>
            <w:tcW w:type="dxa" w:w="17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PDF 16–24 pp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Manuales de marca</w:t>
            </w:r>
          </w:p>
        </w:tc>
        <w:tc>
          <w:tcPr>
            <w:tcW w:type="dxa" w:w="54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ACORN master + Celsius. Define color, tipografía, voz, do's &amp; don'ts.</w:t>
            </w:r>
          </w:p>
        </w:tc>
        <w:tc>
          <w:tcPr>
            <w:tcW w:type="dxa" w:w="17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PDF 32–48 pp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Plantillas redes sociales</w:t>
            </w:r>
          </w:p>
        </w:tc>
        <w:tc>
          <w:tcPr>
            <w:tcW w:type="dxa" w:w="54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Posts y stories editables (Canva / Figma).</w:t>
            </w:r>
          </w:p>
        </w:tc>
        <w:tc>
          <w:tcPr>
            <w:tcW w:type="dxa" w:w="17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ZIP de plantillas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Renders y fotografía</w:t>
            </w:r>
          </w:p>
        </w:tc>
        <w:tc>
          <w:tcPr>
            <w:tcW w:type="dxa" w:w="54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Renders exteriores, plantas, vistas, amenidades. High-res y web.</w:t>
            </w:r>
          </w:p>
        </w:tc>
        <w:tc>
          <w:tcPr>
            <w:tcW w:type="dxa" w:w="17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ZIP de imágenes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Video</w:t>
            </w:r>
          </w:p>
        </w:tc>
        <w:tc>
          <w:tcPr>
            <w:tcW w:type="dxa" w:w="54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Institucional Celsius (1:30–2:00) + clips de cada proyecto.</w:t>
            </w:r>
          </w:p>
        </w:tc>
        <w:tc>
          <w:tcPr>
            <w:tcW w:type="dxa" w:w="17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MP4 4K + 1080p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 signature</w:t>
            </w:r>
          </w:p>
        </w:tc>
        <w:tc>
          <w:tcPr>
            <w:tcW w:type="dxa" w:w="54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Firma HTML para correos de brokers Celsius.</w:t>
            </w:r>
          </w:p>
        </w:tc>
        <w:tc>
          <w:tcPr>
            <w:tcW w:type="dxa" w:w="17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HTML embebible</w:t>
            </w:r>
          </w:p>
        </w:tc>
      </w:tr>
      <w:tr>
        <w:tc>
          <w:tcPr>
            <w:tcW w:type="dxa" w:w="22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One-pagers ejecutivos</w:t>
            </w:r>
          </w:p>
        </w:tc>
        <w:tc>
          <w:tcPr>
            <w:tcW w:type="dxa" w:w="54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Resumen 1 página por proyecto para WhatsApp.</w:t>
            </w:r>
          </w:p>
        </w:tc>
        <w:tc>
          <w:tcPr>
            <w:tcW w:type="dxa" w:w="17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PDF 1 pp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Gobierno de la biblioteca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asset tiene versión. Subir versión nueva no borra la anterior; los brokers pueden ver el changelog.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asset tiene tags (proyecto, etapa, idioma).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admin Celsius es el único que puede subir o editar.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Los brokers ven, descargan, pero no editan.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registra cada descarga (para analítica de qué material funciona).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§11    Integración con HubSpot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Integración con HubSpot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HubSpot es CRM maestro. La plataforma escribe en HubSpot y escucha sus webhooks. Esta sección documenta los puntos de integración, los objetos involucrados y los failure modes.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Objetos HubSpot involucrados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Contact — un cliente final dado de alta en la plataforma.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Deal — una cotización emitida. Vive desde la cotización hasta la firma o pérdida.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Note — el PDF de la cotización se adjunta como Note al Deal.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Task — el seguimiento del apartado de 24h se crea como Task asignada al broker.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Owner — el broker es el owner del Deal y del Contact.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Property (custom) — unit_id, project_id, list_price_mxn, hold_expires_at, payment_schema_json.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Pipeline en HubSpot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configura un Pipeline llamado "Cotizaciones Celsius" con las siguientes etapas en orden: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01 · Cotización borrador — quote creado pero no enviado.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02 · Cotización enviada — PDF generado y enviado al cliente.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03 · Apartado 24h — hold activo, contando 24 horas.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04 · Reservada — cliente confirmó, firma de promesa en proceso.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05 · Promesa firmada — Mifiel devolvió firma (v2).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06 · Ganada — escrituración cerrada.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X1 · Lost · expirado — apartado venció sin confirmación.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X2 · Lost · cliente desistió.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Eventos plataforma → HubSpot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Evento en plataforma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Acción en HubSpot</w:t>
            </w:r>
          </w:p>
        </w:tc>
      </w:tr>
      <w:t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Alta de cliente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Crear Contact con datos legales. Guardar hubspot_contact_id.</w:t>
            </w:r>
          </w:p>
        </w:tc>
      </w:tr>
      <w:t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Cotización generada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Crear Deal en etapa "02 · Cotización enviada". Adjuntar PDF. Asignar owner.</w:t>
            </w:r>
          </w:p>
        </w:tc>
      </w:tr>
      <w:t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 en "Apartar 24h"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Mover Deal a "03 · Apartado 24h". Setear property hold_expires_at. Crear Task.</w:t>
            </w:r>
          </w:p>
        </w:tc>
      </w:tr>
      <w:t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Confirmación de reserva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Mover Deal a "04 · Reservada". Cerrar Task. Crear nueva Task de firma.</w:t>
            </w:r>
          </w:p>
        </w:tc>
      </w:tr>
      <w:t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Hold expira (cron)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Mover Deal a "X1 · Lost · expirado". Cerrar Task.</w:t>
            </w:r>
          </w:p>
        </w:tc>
      </w:tr>
      <w:t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Venta cerrada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Mover Deal a "06 · Ganada". Calcular comisión.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Eventos HubSpot → plataforma (webhooks)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Webhook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shd w:fill="D8D6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pacing w:val="12"/>
                <w:sz w:val="18"/>
                <w:szCs w:val="18"/>
              </w:rPr>
              <w:t xml:space="preserve">Acción en plataforma</w:t>
            </w:r>
          </w:p>
        </w:tc>
      </w:tr>
      <w:t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Deal etapa cambió a "04 · Reservada"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Marcar UNIT_HOLD como reservado, deja de contar 24h.</w:t>
            </w:r>
          </w:p>
        </w:tc>
      </w:tr>
      <w:t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Deal etapa cambió a "06 · Ganada"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Marcar UNIT como sold. Cerrar UNIT_HOLD. Generar evento de comisión.</w:t>
            </w:r>
          </w:p>
        </w:tc>
      </w:tr>
      <w:t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Deal etapa cambió a X1 o X2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Cerrar UNIT_HOLD. Liberar unidad. Marcar QUOTE como cancelada.</w:t>
            </w:r>
          </w:p>
        </w:tc>
      </w:tr>
      <w:t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Contact updated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Actualizar CLIENT en DB con los nuevos datos.</w:t>
            </w:r>
          </w:p>
        </w:tc>
      </w:tr>
      <w:tr>
        <w:tc>
          <w:tcPr>
            <w:tcW w:type="dxa" w:w="400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cambió en Deal</w:t>
            </w:r>
          </w:p>
        </w:tc>
        <w:tc>
          <w:tcPr>
            <w:tcW w:type="dxa" w:w="5360"/>
            <w:tcBorders>
              <w:top w:val="single" w:color="BFBDB7" w:sz="4"/>
              <w:left w:val="single" w:color="BFBDB7" w:sz="4"/>
              <w:bottom w:val="single" w:color="BFBDB7" w:sz="4"/>
              <w:right w:val="single" w:color="BFBDB7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Actualizar BROKER asignado a la cotización.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Manejo de fallos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 el sync de salida falla, el job se reintenta hasta 5 veces con backoff exponencial.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 tras 5 reintentos sigue fallando, se envía alerta a admin Celsius y se marca el HUBSPOT_SYNC_LOG en failed.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Los webhooks entrantes se validan con signature de HubSpot para prevenir spoofing.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webhook entrante es idempotente — si se recibe dos veces el mismo evento, no se aplica dos veces.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§12    Generación de PDF y firma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Generación de PDF y firma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PDF de cotización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Generado server-side con React-PDF. El componente PDF vive en el mismo repo que el frontend, así que comparte tokens de tipografía y color con el resto de la plataforma. La identidad ACORN/Celsius está codificada como tokens.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Estructura del PDF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Header: ACORN / Celsius wordmark + número de cotización + fecha + vigencia.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Datos del cliente: nombre, RFC, contacto.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Datos de la unidad: proyecto, número, m², especificaciones, ubicación.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Esquema financiero: precio lista, bono, precio neto, enganche, mensualidades, saldo al cierre.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Banner de apartado: "UNIDAD APARTADA · VIGENCIA 24H · EXPIRA [fecha]".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Footer legal: disclaimer, datos del broker, cédula, condiciones del apartado.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Firma electrónica (v2)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Mifiel es la opción recomendada para México. NOM-151. Permite firma con e.firma SAT o Mifiel ID. El flujo en v2 será: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Cliente confirma intención de apartar.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Plataforma genera el documento de "Solicitud de Apartado" desde Mifiel.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Cliente firma con e.firma o Mifiel ID.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Mifiel devuelve documento firmado vía webhook.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Plataforma adjunta el firmado al Deal en HubSpot.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Hold se convierte en Reserva oficial.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§13    Seguridad y compliance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Seguridad y compliance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Autenticación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Supabase Auth con email/password + magic link.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Política de contraseña fuerte (12 caracteres mínimo).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2FA opcional vía email para brokers; obligatorio para admin.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Sesiones JWT con expiración de 8 horas. Refresh token con TTL 30 días.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Autorización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Row Level Security activado en cada tabla de Supabase.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Políticas: BROKER puede ver solo sus CLIENT y QUOTE; ADMIN puede ver todo dentro de su DEVELOPER.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Brokers externos pueden ver solo proyectos donde su brokerage tiene convenio.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Datos personales (LFPDPPP)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CLIENT tiene consent_at registrando aceptación del aviso de privacidad.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Avisos de privacidad disponibles en español, fechados, versionados.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Derechos ARCO: endpoint para que cliente solicite acceso, rectificación, cancelación, oposición.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Cifrado at-rest (Supabase) y in-transit (TLS 1.3).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Audit trail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mutación a entidades sensibles (QUOTE, UNIT_HOLD, CLIENT) genera AUDIT_EVENT.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Logs estructurados en Axiom, retención 90 días.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Errores en Sentry, retención 30 días.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HubSpot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Token de acceso almacenado como secret en Vercel.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Webhook signature validation activa.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Rate limiting respetado vía librería oficial.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§14    Roadmap MVP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Roadmap MVP · 6 meses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Plan secuencial diseñado para que un equipo de 1–2 desarrolladores (o tú con Claude Code) entregue la primera versión productiva en 6 meses. Cada fase es desplegable.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1 · Mes 1 — Fundamentos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Setup repo Next.js + Supabase + Vercel + Tailwind + shadcn.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Modelo de datos completo en Supabase con RLS.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Tokens ACORN/Celsius codificados como CSS variables y Tailwind config.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Auth funcional (login broker, roles).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CRUD básico de proyectos y unidades (admin).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Entregable: admin puede dar de alta proyectos y unidades. Brokers pueden hacer login.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2 · Mes 2 — Catálogo y visualizador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Vista de catálogo de proyectos.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Ficha técnica de proyecto con assets descargables.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Visualizador SVG del edificio con colores por status.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Ficha técnica de unidad con todos los specs.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Entregable: broker puede explorar el inventario completo y consultar disponibilidad en tiempo real.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3 · Mes 3 — Cotizador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Formulario de cotización (unidad, cliente, esquema pago).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Cálculo del esquema financiero (precio neto, enganche, mensualidades).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Alta de cliente desde el cotizador.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Generación del PDF con React-PDF.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Almacenamiento del PDF en Supabase Storage.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Entregable: broker puede generar una cotización completa y descargar el PDF.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4 · Mes 4 — Apartado 24h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UNIT_HOLD con constraint unique.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Integración con Upstash Redis para TTL.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Cron Inngest que libera holds expirados cada minuto.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Realtime suscription Supabase para que el visualizador se actualice.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Notificaciones por email vía Resend.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Entregable: el apartado de 24h funciona end-to-end, incluyendo expiración automática.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5 · Mes 5 — HubSpot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Worker de sync plataforma → HubSpot (Contact, Deal, Note, Task).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Webhooks HubSpot → plataforma (cambios de etapa).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Pipeline configurado en HubSpot.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Reconciliación manual desde admin.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Tests de integración HubSpot.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Entregable: cada cotización aparece en HubSpot; cambios en HubSpot se reflejan en plataforma.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6 · Mes 6 — Biblioteca, analytics, hardening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Biblioteca de assets (upload, categorización, descarga).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Dashboard de broker (cotizaciones, apartados, pipeline).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Analytics admin (conversión, ticket, top brokers/proyectos).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Audit log consultable.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PostHog instrumentado.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Sentry + Axiom configurados.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Pen test ligero, bug bash, lanzamiento beta con 5 brokers.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Entregable: plataforma productiva, monitoreada, con primer cohorte de brokers usando en producción.</w:t>
      </w:r>
    </w:p>
    <w:p>
      <w:r>
        <w:br w:type="page"/>
      </w:r>
    </w:p>
    <w:p>
      <w:pPr>
        <w:pBdr>
          <w:bottom w:val="single" w:color="BFBDB7" w:sz="4" w:space="2"/>
        </w:pBdr>
        <w:spacing w:after="120" w:before="48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§15    Próximos pasos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color w:val="111111"/>
          <w:sz w:val="44"/>
          <w:szCs w:val="44"/>
        </w:rPr>
        <w:t xml:space="preserve">Próximos pasos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Decisiones pendientes que necesitamos cerrar antes de escribir código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Definir el nombre legal de la plataforma (Celsius Cotizador, Celsius Cuarto, otro).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Confirmar el dominio (cotizador.celsius.mx, mi.celsius.mx, otro).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Validar con jurídico el texto del aviso de privacidad y condiciones del apartado.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Confirmar las etapas exactas del pipeline HubSpot con el equipo comercial.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Definir el esquema de comisiones por broker (interno vs externo, por proyecto).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Obtener los SVG base de cada proyecto (arquitectura).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Recopilar todos los assets actuales (brochures, manuales, renders) para subir a la biblioteca.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Para comenzar a programar con Claude Code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Una vez cerradas las decisiones, el flujo recomendado en Claude Code es: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Crear el repo monorepo Next.js con el setup inicial (auth, DB, tokens de marca).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Usar este documento como contexto persistente en CLAUDE.md.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Convertir el roadmap (§14) en issues de GitHub por fase.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Atacar las fases en orden, cerrando cada una como release deployable.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 cada feature, primero generar el modelo en Supabase, luego la API tRPC, luego la UI.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Aplicar la skill ACORN brand a cada componente para garantizar consistencia.</w:t>
      </w:r>
    </w:p>
    <w:p>
      <w:pPr>
        <w:spacing w:after="160" w:before="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Este documento, el prototipo HTML navegable y los diagramas embebidos son el paquete completo de entrada para empezar la implementación.</w:t>
      </w:r>
    </w:p>
    <w:p>
      <w:pPr>
        <w:pBdr>
          <w:left w:val="single" w:color="556B5D" w:sz="12" w:space="12"/>
        </w:pBdr>
        <w:spacing w:after="80" w:before="240" w:line="360"/>
        <w:ind w:left="720"/>
      </w:pPr>
      <w:r>
        <w:rPr>
          <w:rFonts w:ascii="Georgia" w:cs="Georgia" w:eastAsia="Georgia" w:hAnsi="Georgia"/>
          <w:i/>
          <w:iCs/>
          <w:color w:val="2D2D2D"/>
          <w:sz w:val="24"/>
          <w:szCs w:val="24"/>
        </w:rPr>
        <w:t xml:space="preserve">La plataforma es la primera pieza de software propietario del grupo. El estándar de calidad importa más que la velocidad.</w:t>
      </w:r>
    </w:p>
    <w:p>
      <w:pPr>
        <w:spacing w:after="240" w:before="0"/>
        <w:ind w:left="720"/>
      </w:pPr>
      <w:r>
        <w:rPr>
          <w:rFonts w:ascii="Consolas" w:cs="Consolas" w:eastAsia="Consolas" w:hAnsi="Consolas"/>
          <w:color w:val="2D2D2D"/>
          <w:spacing w:val="20"/>
          <w:sz w:val="16"/>
          <w:szCs w:val="16"/>
        </w:rPr>
        <w:t xml:space="preserve">§ Principio de construcción · 2026</w:t>
      </w:r>
    </w:p>
    <w:sectPr>
      <w:headerReference w:type="default" r:id="rId7"/>
      <w:footerReference w:type="default" r:id="rId8"/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DB7" w:sz="6" w:space="8"/>
      </w:pBdr>
      <w:tabs>
        <w:tab w:val="right" w:pos="8640"/>
      </w:tabs>
    </w:pPr>
    <w:r>
      <w:rPr>
        <w:rFonts w:ascii="Consolas" w:cs="Consolas" w:eastAsia="Consolas" w:hAnsi="Consolas"/>
        <w:color w:val="2D2D2D"/>
        <w:spacing w:val="20"/>
        <w:sz w:val="14"/>
        <w:szCs w:val="14"/>
      </w:rPr>
      <w:t xml:space="preserve">CELS-COT-2026.05  ·  Confidencial</w:t>
    </w:r>
    <w:r>
      <w:rPr>
        <w:rFonts w:ascii="Consolas" w:cs="Consolas" w:eastAsia="Consolas" w:hAnsi="Consolas"/>
        <w:color w:val="2D2D2D"/>
        <w:sz w:val="14"/>
        <w:szCs w:val="14"/>
      </w:rPr>
      <w:t xml:space="preserve">	Pág. </w:t>
    </w:r>
    <w:r>
      <w:rPr>
        <w:rFonts w:ascii="Consolas" w:cs="Consolas" w:eastAsia="Consolas" w:hAnsi="Consolas"/>
        <w:color w:val="2D2D2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DB7" w:sz="6" w:space="8"/>
      </w:pBdr>
      <w:tabs>
        <w:tab w:val="right" w:pos="8640"/>
      </w:tabs>
    </w:pPr>
    <w:r>
      <w:rPr>
        <w:rFonts w:ascii="Consolas" w:cs="Consolas" w:eastAsia="Consolas" w:hAnsi="Consolas"/>
        <w:color w:val="2D2D2D"/>
        <w:spacing w:val="20"/>
        <w:sz w:val="14"/>
        <w:szCs w:val="14"/>
      </w:rPr>
      <w:t xml:space="preserve">ACORN  /  CELSIUS</w:t>
    </w:r>
    <w:r>
      <w:rPr>
        <w:rFonts w:ascii="Consolas" w:cs="Consolas" w:eastAsia="Consolas" w:hAnsi="Consolas"/>
        <w:color w:val="2D2D2D"/>
        <w:spacing w:val="16"/>
        <w:sz w:val="14"/>
        <w:szCs w:val="14"/>
      </w:rPr>
      <w:t xml:space="preserve">	Documento de Arquitectura  ·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  <w:rPr>
        <w:rFonts w:ascii="Arial" w:cs="Arial" w:eastAsia="Arial" w:hAnsi="Arial"/>
        <w:color w:val="556B5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color w:val="111111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Cotizador de Unidades · Documento de Arquitectura</dc:title>
  <dc:creator>ACORN / Celsius</dc:creator>
  <dc:description>Arquitectura técnica del cotizador Celsius v0.1</dc:description>
  <cp:lastModifiedBy>Un-named</cp:lastModifiedBy>
  <cp:revision>1</cp:revision>
  <dcterms:created xsi:type="dcterms:W3CDTF">2026-05-28T15:55:02.608Z</dcterms:created>
  <dcterms:modified xsi:type="dcterms:W3CDTF">2026-05-28T15:55:02.608Z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