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26"/>
        </w:rPr>
        <w:t>COMO USAR ESTE MODELO — APAGUE ESTA PÁGINA ANTES DE ENTREGAR</w:t>
      </w:r>
    </w:p>
    <w:p>
      <w:pPr>
        <w:jc w:val="both"/>
      </w:pPr>
      <w:r>
        <w:t xml:space="preserve">Este documento é o modelo do TCC com todo o texto estruturado. Os trechos realçados em amarelo, no formato </w:t>
      </w:r>
      <w:r>
        <w:rPr>
          <w:b/>
          <w:highlight w:val="yellow"/>
        </w:rPr>
        <w:t>[PREENCHER: ...]</w:t>
      </w:r>
      <w:r>
        <w:t>, dependem de dados reais (nome da empresa, orientador, resultados de campo, fotos) e não devem ser inventados. Antes da entrega: (1) preencha todos os campos amarelos; (2) atualize o Sumário (botão direito sobre ele, “Atualizar campo”, “Atualizar o índice inteiro”); (3) confira as normas do seu programa (EPUSP/PECE) quanto a capa, ficha catalográfica e folha de aprovação; (4) apague esta página.</w:t>
      </w:r>
    </w:p>
    <w:p>
      <w:pPr>
        <w:jc w:val="both"/>
      </w:pPr>
      <w:r>
        <w:t>Campos a preencher, na ordem em que aparecem: nome completo do autor; nome do orientador e titulação; ano/local se diferente; dados da empresa do estudo de caso; período e amostra da aplicação piloto; resultados reais por dimensão; fotos/prints da aplicação; plano de ação 5W2H elaborado com a empresa; e a data das referências normativas consultadas.</w:t>
      </w:r>
    </w:p>
    <w:p>
      <w:r>
        <w:br w:type="page"/>
      </w:r>
    </w:p>
    <w:p>
      <w:pPr>
        <w:spacing w:after="120"/>
        <w:jc w:val="center"/>
      </w:pPr>
      <w:r>
        <w:rPr>
          <w:b w:val="0"/>
          <w:sz w:val="24"/>
        </w:rPr>
      </w:r>
    </w:p>
    <w:p>
      <w:pPr>
        <w:spacing w:after="120"/>
        <w:jc w:val="center"/>
      </w:pPr>
      <w:r>
        <w:rPr>
          <w:b w:val="0"/>
          <w:sz w:val="24"/>
        </w:rPr>
      </w:r>
    </w:p>
    <w:p>
      <w:pPr>
        <w:spacing w:after="120"/>
        <w:jc w:val="center"/>
      </w:pPr>
      <w:r>
        <w:rPr>
          <w:b/>
          <w:sz w:val="24"/>
        </w:rPr>
        <w:t>UNIVERSIDADE DE SÃO PAULO</w:t>
      </w:r>
    </w:p>
    <w:p>
      <w:pPr>
        <w:spacing w:after="120"/>
        <w:jc w:val="center"/>
      </w:pPr>
      <w:r>
        <w:rPr>
          <w:b/>
          <w:sz w:val="24"/>
        </w:rPr>
        <w:t>ESCOLA POLITÉCNICA — PECE</w:t>
      </w:r>
    </w:p>
    <w:p>
      <w:pPr>
        <w:spacing w:after="120"/>
        <w:jc w:val="center"/>
      </w:pPr>
      <w:r>
        <w:rPr>
          <w:b/>
          <w:sz w:val="24"/>
        </w:rPr>
        <w:t>PROGRAMA DE EDUCAÇÃO CONTINUADA EM ENGENHARIA</w:t>
      </w:r>
    </w:p>
    <w:p>
      <w:pPr>
        <w:spacing w:after="960"/>
        <w:jc w:val="center"/>
      </w:pPr>
      <w:r>
        <w:rPr>
          <w:b/>
          <w:sz w:val="24"/>
        </w:rPr>
        <w:t>ESPECIALIZAÇÃO EM ENGENHARIA DE SEGURANÇA DO TRABALHO</w:t>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sz w:val="24"/>
        </w:rPr>
        <w:t xml:space="preserve">RODRIGO ZAMBON </w:t>
      </w:r>
      <w:r>
        <w:rPr>
          <w:b/>
          <w:highlight w:val="yellow"/>
        </w:rPr>
        <w:t>[PREENCHER: nome completo]</w:t>
      </w:r>
    </w:p>
    <w:p>
      <w:pPr>
        <w:spacing w:after="120"/>
        <w:jc w:val="center"/>
      </w:pPr>
      <w:r>
        <w:rPr>
          <w:b w:val="0"/>
          <w:sz w:val="24"/>
        </w:rPr>
      </w:r>
    </w:p>
    <w:p>
      <w:pPr>
        <w:spacing w:after="120"/>
        <w:jc w:val="center"/>
      </w:pPr>
      <w:r>
        <w:rPr>
          <w:b w:val="0"/>
          <w:sz w:val="24"/>
        </w:rPr>
      </w:r>
    </w:p>
    <w:p>
      <w:pPr>
        <w:spacing w:after="120"/>
        <w:jc w:val="center"/>
      </w:pPr>
      <w:r>
        <w:rPr>
          <w:b/>
          <w:sz w:val="28"/>
        </w:rPr>
        <w:t>GESTÃO DIGITAL DE RISCOS PSICOSSOCIAIS CONFORME A NR-1:</w:t>
      </w:r>
    </w:p>
    <w:p>
      <w:pPr>
        <w:spacing w:after="960"/>
        <w:jc w:val="center"/>
      </w:pPr>
      <w:r>
        <w:rPr>
          <w:b/>
          <w:sz w:val="28"/>
        </w:rPr>
        <w:t>desenvolvimento e aplicação de uma plataforma de gestão de SST em serviços de distribuição de energia elétrica</w:t>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t>São Paulo</w:t>
      </w:r>
    </w:p>
    <w:p>
      <w:pPr>
        <w:spacing w:after="120"/>
        <w:jc w:val="center"/>
      </w:pPr>
      <w:r>
        <w:rPr>
          <w:b w:val="0"/>
          <w:sz w:val="24"/>
        </w:rPr>
        <w:t>2026</w:t>
      </w:r>
    </w:p>
    <w:p>
      <w:r>
        <w:br w:type="page"/>
      </w:r>
    </w:p>
    <w:p>
      <w:pPr>
        <w:spacing w:after="120"/>
        <w:jc w:val="center"/>
      </w:pPr>
      <w:r>
        <w:rPr>
          <w:b/>
          <w:sz w:val="24"/>
        </w:rPr>
        <w:t xml:space="preserve">RODRIGO ZAMBON </w:t>
      </w:r>
      <w:r>
        <w:rPr>
          <w:b/>
          <w:highlight w:val="yellow"/>
        </w:rPr>
        <w:t>[PREENCHER: nome completo]</w:t>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sz w:val="26"/>
        </w:rPr>
        <w:t>GESTÃO DIGITAL DE RISCOS PSICOSSOCIAIS CONFORME A NR-1:</w:t>
      </w:r>
    </w:p>
    <w:p>
      <w:pPr>
        <w:spacing w:after="720"/>
        <w:jc w:val="center"/>
      </w:pPr>
      <w:r>
        <w:rPr>
          <w:b/>
          <w:sz w:val="26"/>
        </w:rPr>
        <w:t>desenvolvimento e aplicação de uma plataforma de gestão de SST em serviços de distribuição de energia elétrica</w:t>
      </w:r>
    </w:p>
    <w:p>
      <w:pPr>
        <w:spacing w:line="240" w:lineRule="auto"/>
        <w:ind w:left="4535"/>
        <w:jc w:val="both"/>
      </w:pPr>
      <w:r>
        <w:rPr>
          <w:sz w:val="22"/>
        </w:rPr>
        <w:t>Monografia apresentada ao Programa de Educação Continuada em Engenharia (PECE) da Escola Politécnica da Universidade de São Paulo como requisito parcial para a obtenção do título de Especialista em Engenharia de Segurança do Trabalho.</w:t>
      </w:r>
    </w:p>
    <w:p>
      <w:pPr>
        <w:spacing w:line="240" w:lineRule="auto"/>
        <w:ind w:left="4535"/>
      </w:pPr>
      <w:r>
        <w:rPr>
          <w:sz w:val="22"/>
        </w:rPr>
        <w:t xml:space="preserve">Orientador(a): Prof. </w:t>
      </w:r>
      <w:r>
        <w:rPr>
          <w:sz w:val="22"/>
          <w:highlight w:val="yellow"/>
        </w:rPr>
        <w:t>[PREENCHER: nome e titulação do orientador]</w:t>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t>São Paulo</w:t>
      </w:r>
    </w:p>
    <w:p>
      <w:pPr>
        <w:spacing w:after="120"/>
        <w:jc w:val="center"/>
      </w:pPr>
      <w:r>
        <w:rPr>
          <w:b w:val="0"/>
          <w:sz w:val="24"/>
        </w:rPr>
        <w:t>2026</w:t>
      </w:r>
    </w:p>
    <w:p>
      <w:r>
        <w:br w:type="page"/>
      </w:r>
    </w:p>
    <w:p>
      <w:pPr>
        <w:spacing w:after="360"/>
        <w:jc w:val="center"/>
      </w:pPr>
      <w:r>
        <w:rPr>
          <w:b/>
          <w:sz w:val="24"/>
        </w:rPr>
        <w:t>RESUMO</w:t>
      </w:r>
    </w:p>
    <w:p>
      <w:pPr>
        <w:jc w:val="both"/>
      </w:pPr>
      <w:r>
        <w:t xml:space="preserve">A atualização da Norma Regulamentadora nº 1 (NR-1) pela Portaria MTE nº 1.419/2024 tornou explícita a obrigação de identificar perigos e avaliar riscos ocupacionais considerando os fatores de risco psicossocial relacionados ao trabalho, no âmbito do Gerenciamento de Riscos Ocupacionais (GRO) e do Programa de Gerenciamento de Riscos (PGR). Este trabalho apresenta o desenvolvimento e a aplicação de uma plataforma digital de baixo custo — denominada Psike — para operacionalizar essa exigência em uma organização do setor de distribuição de energia elétrica. A plataforma aplica um instrumento estruturado de dez itens em seis dimensões psicossociais (carga e ritmo de trabalho; autonomia e controle; clareza de papel; apoio social e de liderança; reconhecimento; assédio e violência no trabalho), com coleta anônima, classificação automática do risco por dimensão em três faixas e geração automática do texto correspondente para o Inventário de Riscos Ocupacionais (IRO) do PGR. Módulos complementares digitalizam a permissão de trabalho para serviços em redes de distribuição (NR-10 e NR-35), a Avaliação Ergonômica Preliminar (NR-17) e o registro e a investigação de acidentes e quase acidentes, sobre a mesma base de dados. A aplicação piloto foi conduzida em </w:t>
      </w:r>
      <w:r>
        <w:rPr>
          <w:b/>
          <w:highlight w:val="yellow"/>
        </w:rPr>
        <w:t>[PREENCHER: empresa, período e número de respondentes]</w:t>
      </w:r>
      <w:r>
        <w:t xml:space="preserve">. Os resultados indicam </w:t>
      </w:r>
      <w:r>
        <w:rPr>
          <w:b/>
          <w:highlight w:val="yellow"/>
        </w:rPr>
        <w:t>[PREENCHER: síntese dos resultados reais]</w:t>
      </w:r>
      <w:r>
        <w:t>. Conclui-se que a digitalização do processo reduz o custo de conformidade com a NR-1 e melhora a rastreabilidade exigida para os registros do PGR, respeitando o anonimato dos respondentes e a Lei Geral de Proteção de Dados.</w:t>
      </w:r>
    </w:p>
    <w:p>
      <w:pPr>
        <w:jc w:val="both"/>
      </w:pPr>
      <w:r>
        <w:t>Palavras-chave: riscos psicossociais; NR-1; gerenciamento de riscos ocupacionais; saúde mental no trabalho; distribuição de energia elétrica; transformação digital.</w:t>
      </w:r>
    </w:p>
    <w:p>
      <w:r>
        <w:br w:type="page"/>
      </w:r>
    </w:p>
    <w:p>
      <w:pPr>
        <w:spacing w:after="360"/>
        <w:jc w:val="center"/>
      </w:pPr>
      <w:r>
        <w:rPr>
          <w:b/>
          <w:sz w:val="24"/>
        </w:rPr>
        <w:t>ABSTRACT</w:t>
      </w:r>
    </w:p>
    <w:p>
      <w:pPr>
        <w:jc w:val="both"/>
      </w:pPr>
      <w:r>
        <w:t xml:space="preserve">The update of Brazilian Regulatory Standard No. 1 (NR-1) by MTE Ordinance No. 1,419/2024 made explicit the obligation to identify hazards and assess occupational risks considering work-related psychosocial risk factors within the Occupational Risk Management (GRO) framework and the Risk Management Program (PGR). This study presents the development and application of a low-cost digital platform — named Psike — to operationalize this requirement in an electric power distribution organization. The platform applies a structured ten-item instrument across six psychosocial dimensions, with anonymous data collection, automatic risk classification per dimension into three bands, and automatic generation of the corresponding text for the Occupational Risk Inventory (IRO). Complementary modules digitize work permits for distribution network services (NR-10 and NR-35), the Preliminary Ergonomic Assessment (NR-17), and the recording and investigation of accidents and near misses, on the same data repository. The pilot application was conducted at </w:t>
      </w:r>
      <w:r>
        <w:rPr>
          <w:b/>
          <w:highlight w:val="yellow"/>
        </w:rPr>
        <w:t>[PREENCHER: company, period and sample]</w:t>
      </w:r>
      <w:r>
        <w:t xml:space="preserve">. Results indicate </w:t>
      </w:r>
      <w:r>
        <w:rPr>
          <w:b/>
          <w:highlight w:val="yellow"/>
        </w:rPr>
        <w:t>[PREENCHER: summary of actual results]</w:t>
      </w:r>
      <w:r>
        <w:t>. The study concludes that digitizing the process reduces the cost of compliance with NR-1 and improves the traceability required for PGR records, while preserving respondent anonymity and compliance with the Brazilian General Data Protection Law (LGPD).</w:t>
      </w:r>
    </w:p>
    <w:p>
      <w:pPr>
        <w:jc w:val="both"/>
      </w:pPr>
      <w:r>
        <w:t>Keywords: psychosocial risks; NR-1; occupational risk management; mental health at work; electric power distribution; digital transformation.</w:t>
      </w:r>
    </w:p>
    <w:p>
      <w:r>
        <w:br w:type="page"/>
      </w:r>
    </w:p>
    <w:p>
      <w:pPr>
        <w:spacing w:after="360"/>
        <w:jc w:val="center"/>
      </w:pPr>
      <w:r>
        <w:rPr>
          <w:b/>
          <w:sz w:val="24"/>
        </w:rPr>
        <w:t>SUMÁRIO</w:t>
      </w:r>
    </w:p>
    <w:p>
      <w:r>
        <w:fldChar w:fldCharType="begin"/>
        <w:instrText xml:space="preserve">TOC \o "1-3" \h \z \u</w:instrText>
        <w:fldChar w:fldCharType="separate"/>
        <w:t>Sumário automático: clique com o botão direito e escolha “Atualizar campo” no Word.</w:t>
        <w:fldChar w:fldCharType="end"/>
      </w:r>
    </w:p>
    <w:p>
      <w:r>
        <w:br w:type="page"/>
      </w:r>
    </w:p>
    <w:p>
      <w:pPr>
        <w:pStyle w:val="Heading1"/>
      </w:pPr>
      <w:r>
        <w:t>1 INTRODUÇÃO</w:t>
      </w:r>
    </w:p>
    <w:p>
      <w:pPr>
        <w:pStyle w:val="Heading2"/>
      </w:pPr>
      <w:r>
        <w:t>1.1 Contextualização</w:t>
      </w:r>
    </w:p>
    <w:p>
      <w:pPr>
        <w:ind w:firstLine="709"/>
        <w:jc w:val="both"/>
      </w:pPr>
      <w:r>
        <w:t>Os transtornos mentais e comportamentais relacionados ao trabalho ocupam posição crescente entre as causas de afastamento no Brasil, e a Organização Mundial da Saúde reconhece o ambiente de trabalho como determinante relevante da saúde mental dos trabalhadores (WHO, 2022). Nesse cenário, a Portaria MTE nº 1.419, de 27 de agosto de 2024, atualizou a Norma Regulamentadora nº 1 (NR-1) para explicitar que o levantamento preliminar de perigos e a avaliação de riscos do Gerenciamento de Riscos Ocupacionais (GRO) devem contemplar os fatores de risco psicossocial relacionados ao trabalho, ao lado dos tradicionais agentes físicos, químicos, biológicos, ergonômicos e de acidentes (BRASIL, 2024). A exigibilidade da nova redação passou a valer, após prorrogação, a partir de 26 de maio de 2026, alcançando todo empregador regido pela Consolidação das Leis do Trabalho.</w:t>
      </w:r>
    </w:p>
    <w:p>
      <w:pPr>
        <w:ind w:firstLine="709"/>
        <w:jc w:val="both"/>
      </w:pPr>
      <w:r>
        <w:t>A obrigação não se resume a aplicar um questionário: a organização deve identificar os fatores, avaliá-los, classificá-los, registrá-los no Inventário de Riscos Ocupacionais (IRO) do Programa de Gerenciamento de Riscos (PGR), estabelecer medidas de prevenção com plano de ação e manter os registros disponíveis e rastreáveis por longos períodos. Para a maioria das organizações brasileiras — em especial as de pequeno e médio porte e as equipes de SST enxutas — esse ciclo completo ainda é executado em papel ou em planilhas avulsas, com baixa rastreabilidade e alto custo operacional.</w:t>
      </w:r>
    </w:p>
    <w:p>
      <w:pPr>
        <w:ind w:firstLine="709"/>
        <w:jc w:val="both"/>
      </w:pPr>
      <w:r>
        <w:t>No setor de distribuição de energia elétrica, objeto do estudo de caso deste trabalho, os fatores psicossociais convivem com riscos ocupacionais graves e bem regulamentados — trabalho em instalações elétricas energizadas e desenergizadas (NR-10), inclusive no Sistema Elétrico de Potência (SEP), e trabalho em altura em postes e estruturas (NR-35). Pressão por restabelecimento rápido do fornecimento, trabalho em turnos e sobreaviso, exposição a intempéries e o próprio convívio cotidiano com o risco de acidentes fatais configuram um conjunto de demandas psicossociais característico da atividade, o que torna o setor um campo particularmente pertinente para a gestão integrada proposta.</w:t>
      </w:r>
    </w:p>
    <w:p>
      <w:pPr>
        <w:pStyle w:val="Heading2"/>
      </w:pPr>
      <w:r>
        <w:t>1.2 Justificativa</w:t>
      </w:r>
    </w:p>
    <w:p>
      <w:pPr>
        <w:ind w:firstLine="709"/>
        <w:jc w:val="both"/>
      </w:pPr>
      <w:r>
        <w:t>Há uma lacuna prática entre a exigência normativa e os instrumentos disponíveis. Soluções comerciais de gestão de SST tendem a ter custo incompatível com organizações menores; questionários validados de grande porte, como o COPSOQ, exigem competência estatística para aplicação e interpretação; e a alternativa usual — formulários impressos tabulados manualmente — fragiliza justamente os atributos que a NR-1 passou a exigir: anonimato na coleta, consistência na classificação e rastreabilidade dos registros ao longo do tempo.</w:t>
      </w:r>
    </w:p>
    <w:p>
      <w:pPr>
        <w:ind w:firstLine="709"/>
        <w:jc w:val="both"/>
      </w:pPr>
      <w:r>
        <w:t>Este trabalho se justifica, portanto, por demonstrar a viabilidade técnica e econômica de uma solução digital de custo praticamente nulo, construída com tecnologias acessíveis (página web autocontida e serviços gratuitos de planilha em nuvem), que operacionaliza o ciclo completo exigido pela NR-1 — da coleta anônima à redação automática da seção correspondente do IRO — e que se estende, sobre a mesma base de dados, a outros processos de SST ainda manuais na organização estudada: permissões de trabalho em campo, avaliação ergonômica preliminar e registro de acidentes e quase acidentes.</w:t>
      </w:r>
    </w:p>
    <w:p>
      <w:pPr>
        <w:pStyle w:val="Heading2"/>
      </w:pPr>
      <w:r>
        <w:t>1.3 Objetivos</w:t>
      </w:r>
    </w:p>
    <w:p>
      <w:pPr>
        <w:pStyle w:val="Heading3"/>
      </w:pPr>
      <w:r>
        <w:t>1.3.1 Objetivo geral</w:t>
      </w:r>
    </w:p>
    <w:p>
      <w:pPr>
        <w:ind w:firstLine="709"/>
        <w:jc w:val="both"/>
      </w:pPr>
      <w:r>
        <w:t>Desenvolver e aplicar uma plataforma digital para identificação, avaliação e documentação de fatores de risco psicossocial conforme a NR-1, integrada à gestão de riscos ocupacionais de uma organização do setor de distribuição de energia elétrica.</w:t>
      </w:r>
    </w:p>
    <w:p>
      <w:pPr>
        <w:pStyle w:val="Heading3"/>
      </w:pPr>
      <w:r>
        <w:t>1.3.2 Objetivos específicos</w:t>
      </w:r>
    </w:p>
    <w:p>
      <w:pPr>
        <w:pStyle w:val="ListBullet"/>
        <w:jc w:val="both"/>
      </w:pPr>
      <w:r>
        <w:t>Sistematizar os requisitos da NR-1 (redação da Portaria MTE nº 1.419/2024) e as referências técnicas aplicáveis à avaliação de fatores psicossociais, em especial o Guia do MTE e a ISO 45003;</w:t>
      </w:r>
    </w:p>
    <w:p>
      <w:pPr>
        <w:pStyle w:val="ListBullet"/>
        <w:jc w:val="both"/>
      </w:pPr>
      <w:r>
        <w:t>Construir um instrumento de avaliação enxuto (dez itens em seis dimensões), com escala do tipo Likert de cinco pontos, coleta anônima e critérios objetivos de classificação de risco;</w:t>
      </w:r>
    </w:p>
    <w:p>
      <w:pPr>
        <w:pStyle w:val="ListBullet"/>
        <w:jc w:val="both"/>
      </w:pPr>
      <w:r>
        <w:t>Implementar a plataforma digital (frontend web autocontido e backend gratuito em nuvem) com painel agregado e geração automática de texto para o Inventário de Riscos Ocupacionais;</w:t>
      </w:r>
    </w:p>
    <w:p>
      <w:pPr>
        <w:pStyle w:val="ListBullet"/>
        <w:jc w:val="both"/>
      </w:pPr>
      <w:r>
        <w:t>Digitalizar processos complementares de SST da organização: permissão de trabalho para serviços em redes de distribuição (NR-10/NR-35), Avaliação Ergonômica Preliminar (NR-17) e registro e investigação de acidentes e quase acidentes;</w:t>
      </w:r>
    </w:p>
    <w:p>
      <w:pPr>
        <w:pStyle w:val="ListBullet"/>
        <w:jc w:val="both"/>
      </w:pPr>
      <w:r>
        <w:t>Aplicar a plataforma em caráter piloto e discutir os resultados, as limitações e as condições de generalização da solução.</w:t>
      </w:r>
    </w:p>
    <w:p>
      <w:pPr>
        <w:pStyle w:val="Heading2"/>
      </w:pPr>
      <w:r>
        <w:t>1.4 Estrutura do trabalho</w:t>
      </w:r>
    </w:p>
    <w:p>
      <w:pPr>
        <w:ind w:firstLine="709"/>
        <w:jc w:val="both"/>
      </w:pPr>
      <w:r>
        <w:t>Além desta introdução, o trabalho está organizado em quatro seções. A seção 2 apresenta a fundamentação teórica e normativa. A seção 3 descreve a metodologia, incluindo a arquitetura da plataforma e o instrumento de avaliação. A seção 4 apresenta e discute os resultados da implementação e da aplicação piloto. A seção 5 traz as considerações finais e sugestões de trabalhos futuros.</w:t>
      </w:r>
    </w:p>
    <w:p>
      <w:r>
        <w:br w:type="page"/>
      </w:r>
    </w:p>
    <w:p>
      <w:pPr>
        <w:pStyle w:val="Heading1"/>
      </w:pPr>
      <w:r>
        <w:t>2 FUNDAMENTAÇÃO TEÓRICA E NORMATIVA</w:t>
      </w:r>
    </w:p>
    <w:p>
      <w:pPr>
        <w:pStyle w:val="Heading2"/>
      </w:pPr>
      <w:r>
        <w:t>2.1 O GRO e o PGR na NR-1</w:t>
      </w:r>
    </w:p>
    <w:p>
      <w:pPr>
        <w:ind w:firstLine="709"/>
        <w:jc w:val="both"/>
      </w:pPr>
      <w:r>
        <w:t>Desde a reformulação promovida em 2020, a NR-1 estabelece o Gerenciamento de Riscos Ocupacionais como processo contínuo composto por levantamento preliminar de perigos, avaliação de riscos, classificação, implementação de medidas de prevenção e acompanhamento do controle. O PGR materializa esse processo em, no mínimo, dois documentos: o Inventário de Riscos Ocupacionais e o Plano de Ação. A norma exige que o inventário seja mantido atualizado e que o histórico das suas atualizações seja retido por período mínimo estabelecido na própria NR-1 (BRASIL, 2024).</w:t>
      </w:r>
    </w:p>
    <w:p>
      <w:pPr>
        <w:ind w:firstLine="709"/>
        <w:jc w:val="both"/>
      </w:pPr>
      <w:r>
        <w:t>Com a Portaria MTE nº 1.419/2024, os fatores de risco psicossocial relacionados ao trabalho passaram a integrar expressamente o rol de perigos a considerar no GRO. Na prática, isso equipara o tratamento documental dos fatores psicossociais ao dos demais agentes: precisam ser identificados, avaliados com método consistente, classificados, inscritos no IRO e vinculados a medidas de prevenção com responsáveis e prazos no Plano de Ação.</w:t>
      </w:r>
    </w:p>
    <w:p>
      <w:pPr>
        <w:pStyle w:val="Heading2"/>
      </w:pPr>
      <w:r>
        <w:t>2.2 Fatores de risco psicossocial: conceito e dimensões</w:t>
      </w:r>
    </w:p>
    <w:p>
      <w:pPr>
        <w:ind w:firstLine="709"/>
        <w:jc w:val="both"/>
      </w:pPr>
      <w:r>
        <w:t>Fatores de risco psicossocial são aspectos da concepção, organização e gestão do trabalho e de seu contexto social que têm potencial de causar dano psicológico ou físico ao trabalhador (LEKA; JAIN, 2010). Modelos clássicos da literatura sustentam a seleção de dimensões de avaliação: o modelo demanda-controle de Karasek (1979) relaciona o adoecimento à combinação de altas exigências com baixa autonomia; o modelo esforço-recompensa de Siegrist (1996) destaca o desequilíbrio entre o esforço despendido e o reconhecimento recebido; e instrumentos multidimensionais como o COPSOQ (KRISTENSEN et al., 2005) consolidam dimensões como demandas quantitativas, apoio social, clareza de papel e comportamentos ofensivos.</w:t>
      </w:r>
    </w:p>
    <w:p>
      <w:pPr>
        <w:ind w:firstLine="709"/>
        <w:jc w:val="both"/>
      </w:pPr>
      <w:r>
        <w:t>Com base nessas referências e nos exemplos do Guia do MTE, este trabalho adota seis dimensões de avaliação: carga e ritmo de trabalho; autonomia e controle; clareza de papel; apoio social e de liderança; reconhecimento; e assédio e violência no trabalho.</w:t>
      </w:r>
    </w:p>
    <w:p>
      <w:pPr>
        <w:pStyle w:val="Heading2"/>
      </w:pPr>
      <w:r>
        <w:t>2.3 O marco regulatório brasileiro</w:t>
      </w:r>
    </w:p>
    <w:p>
      <w:pPr>
        <w:ind w:firstLine="709"/>
        <w:jc w:val="both"/>
      </w:pPr>
      <w:r>
        <w:t>A Portaria MTE nº 1.419/2024 alterou a NR-1 para incluir os fatores de risco psicossocial no processo de identificação de perigos e avaliação de riscos. Para orientar a aplicação, o Ministério do Trabalho e Emprego publicou guia informativo sobre fatores de riscos psicossociais relacionados ao trabalho, com exemplos de fatores, orientações de método e esclarecimentos sobre o que a fiscalização espera encontrar documentado (BRASIL, 2025). O guia enfatiza que a avaliação deve ser coletiva e organizacional — não um diagnóstico clínico individual — e que o anonimato da coleta é condição para a fidedignidade das respostas.</w:t>
      </w:r>
    </w:p>
    <w:p>
      <w:pPr>
        <w:ind w:firstLine="709"/>
        <w:jc w:val="both"/>
      </w:pPr>
      <w:r>
        <w:t>Complementarmente, a Lei nº 13.709/2018 (LGPD) condiciona o tratamento de dados pessoais, o que reforça a opção metodológica por coleta anônima e análise agregada: não se coletam nome, matrícula ou qualquer identificador individual, apenas o setor, para permitir a estratificação mínima exigida pela gestão.</w:t>
      </w:r>
    </w:p>
    <w:p>
      <w:pPr>
        <w:pStyle w:val="Heading2"/>
      </w:pPr>
      <w:r>
        <w:t>2.4 ISO 45003 e referências internacionais</w:t>
      </w:r>
    </w:p>
    <w:p>
      <w:pPr>
        <w:ind w:firstLine="709"/>
        <w:jc w:val="both"/>
      </w:pPr>
      <w:r>
        <w:t>A ISO 45003:2021 é a primeira norma internacional dedicada à gestão de riscos psicossociais, estruturada como diretriz complementar à ISO 45001:2018. Ela organiza os fatores em três grupos — organização do trabalho, fatores sociais e ambiente/equipamentos — e recomenda a integração da gestão psicossocial ao sistema de gestão de SST existente, em vez de um programa paralelo (ISO, 2021). A Organização Mundial da Saúde, em suas diretrizes sobre saúde mental no trabalho, recomenda intervenções organizacionais dirigidas às condições de trabalho como medida primária, antes de intervenções individuais (WHO, 2022). Essas referências sustentam duas decisões de projeto da plataforma: avaliar a organização (e não o indivíduo) e integrar o resultado diretamente ao PGR.</w:t>
      </w:r>
    </w:p>
    <w:p>
      <w:pPr>
        <w:pStyle w:val="Heading2"/>
      </w:pPr>
      <w:r>
        <w:t>2.5 Instrumentos de avaliação psicossocial</w:t>
      </w:r>
    </w:p>
    <w:p>
      <w:pPr>
        <w:ind w:firstLine="709"/>
        <w:jc w:val="both"/>
      </w:pPr>
      <w:r>
        <w:t>Entre os instrumentos consolidados destacam-se o COPSOQ (Copenhagen Psychosocial Questionnaire), o Job Content Questionnaire de Karasek e as ferramentas de indicadores de gestão do Health and Safety Executive britânico. São instrumentos robustos, porém extensos — versões médias do COPSOQ ultrapassam oitenta itens — e sua aplicação e interpretação exigem competência técnica pouco disponível em equipes de SST enxutas. Para viabilizar a adoção, este trabalho optou por um instrumento próprio e enxuto, de dez itens, com uma a duas questões por dimensão, assumindo explicitamente o caráter de triagem (screening): o objetivo é priorizar dimensões para aprofundamento e ação, e não produzir diagnóstico psicométrico definitivo. Essa limitação é discutida na seção 4.</w:t>
      </w:r>
    </w:p>
    <w:p>
      <w:pPr>
        <w:pStyle w:val="Heading2"/>
      </w:pPr>
      <w:r>
        <w:t>2.6 Particularidades do setor de distribuição de energia elétrica</w:t>
      </w:r>
    </w:p>
    <w:p>
      <w:pPr>
        <w:ind w:firstLine="709"/>
        <w:jc w:val="both"/>
      </w:pPr>
      <w:r>
        <w:t>As atividades em redes de distribuição são regidas principalmente pela NR-10, que estabelece requisitos para serviços em instalações elétricas desenergizadas (procedimentos de desenergização, bloqueio e aterramento temporário) e energizadas, inclusive no Sistema Elétrico de Potência, exigindo trabalhadores autorizados e, para o SEP, treinamento complementar específico (BRASIL, 2019). O trabalho em postes e estruturas elevadas sujeita-se ainda à NR-35. A rotina dessas equipes combina demandas físicas e cognitivas elevadas com fatores psicossociais típicos: pressão temporal no restabelecimento de fornecimento, regime de turnos e sobreaviso, trabalho a céu aberto sob intempéries e a convivência permanente com risco de acidente grave ou fatal — contexto no qual falhas de atenção têm consequência severa, o que torna a gestão psicossocial também uma medida de prevenção de acidentes.</w:t>
      </w:r>
    </w:p>
    <w:p>
      <w:pPr>
        <w:pStyle w:val="Heading2"/>
      </w:pPr>
      <w:r>
        <w:t>2.7 Transformação digital na gestão de SST</w:t>
      </w:r>
    </w:p>
    <w:p>
      <w:pPr>
        <w:ind w:firstLine="709"/>
        <w:jc w:val="both"/>
      </w:pPr>
      <w:r>
        <w:t>A digitalização de processos de SST tem como benefícios documentados a padronização dos registros, a redução do tempo entre coleta e análise, a eliminação de transcrições manuais e a rastreabilidade exigida por auditorias e fiscalização. No contexto deste trabalho, a opção por tecnologias gratuitas e de baixa barreira técnica (página web estática e planilha em nuvem com script de automação) é uma decisão deliberada de projeto, voltada à replicabilidade da solução por profissionais de SST sem apoio de equipe de tecnologia da informação.</w:t>
      </w:r>
    </w:p>
    <w:p>
      <w:r>
        <w:br w:type="page"/>
      </w:r>
    </w:p>
    <w:p>
      <w:pPr>
        <w:pStyle w:val="Heading1"/>
      </w:pPr>
      <w:r>
        <w:t>3 METODOLOGIA</w:t>
      </w:r>
    </w:p>
    <w:p>
      <w:pPr>
        <w:pStyle w:val="Heading2"/>
      </w:pPr>
      <w:r>
        <w:t>3.1 Caracterização da pesquisa</w:t>
      </w:r>
    </w:p>
    <w:p>
      <w:pPr>
        <w:ind w:firstLine="709"/>
        <w:jc w:val="both"/>
      </w:pPr>
      <w:r>
        <w:t xml:space="preserve">Trata-se de pesquisa aplicada, de natureza tecnológica, conduzida na forma de desenvolvimento de artefato (plataforma digital) seguido de estudo de caso com aplicação piloto. A abordagem é quali-quantitativa: quantitativa no tratamento das respostas do instrumento e qualitativa na análise da adequação do processo ao contexto organizacional. O estudo de caso foi conduzido em </w:t>
      </w:r>
      <w:r>
        <w:rPr>
          <w:b/>
          <w:highlight w:val="yellow"/>
        </w:rPr>
        <w:t>[PREENCHER: caracterização da empresa — porte, região de atuação, efetivo aproximado e atividades, sem identificar dados sensíveis]</w:t>
      </w:r>
      <w:r>
        <w:t>.</w:t>
      </w:r>
    </w:p>
    <w:p>
      <w:pPr>
        <w:pStyle w:val="Heading2"/>
      </w:pPr>
      <w:r>
        <w:t>3.2 Arquitetura da plataforma</w:t>
      </w:r>
    </w:p>
    <w:p>
      <w:pPr>
        <w:ind w:firstLine="709"/>
        <w:jc w:val="both"/>
      </w:pPr>
      <w:r>
        <w:t>A plataforma, denominada Psike, foi construída sobre três decisões de arquitetura: custo zero de operação, ausência de instalação e anonimato por construção. O frontend é um único arquivo HTML autocontido, sem framework nem etapa de compilação, que funciona em qualquer navegador de computador ou celular. O backend é um script gratuito do Google Apps Script publicado como aplicativo web, que grava os registros em abas de uma planilha Google — uma aba por módulo — servindo como repositório único de dados. O frontend detecta automaticamente o ambiente: quando a URL do backend está configurada, os dados são gravados na nuvem e compartilhados entre todos os dispositivos; sem backend, a aplicação opera em modo local para demonstração. Não há coleta de nome, e-mail ou identificador individual em nenhum módulo de avaliação psicossocial.</w:t>
      </w:r>
    </w:p>
    <w:p>
      <w:pPr>
        <w:ind w:firstLine="709"/>
        <w:jc w:val="both"/>
      </w:pPr>
      <w:r>
        <w:t>A plataforma foi organizada em quatro módulos sobre o mesmo repositório de dados, espelhando o Inventário de Riscos Ocupacionais: Módulo 1 — avaliação de riscos psicossociais (NR-1/ISO 45003); Módulo 2 — permissão de trabalho digital para serviços em redes de distribuição (NR-10 e NR-35); Módulo 3 — Avaliação Ergonômica Preliminar (NR-17); Módulo 4 — registro e investigação de acidentes e quase acidentes.</w:t>
      </w:r>
    </w:p>
    <w:p>
      <w:pPr>
        <w:pStyle w:val="Heading2"/>
      </w:pPr>
      <w:r>
        <w:t>3.3 O instrumento de avaliação psicossocial</w:t>
      </w:r>
    </w:p>
    <w:p>
      <w:pPr>
        <w:ind w:firstLine="709"/>
        <w:jc w:val="both"/>
      </w:pPr>
      <w:r>
        <w:t>O instrumento contém dez afirmativas redigidas em sentido positivo, distribuídas em seis dimensões: carga e ritmo de trabalho (2 itens), autonomia e controle (2), clareza de papel (2), apoio social e de liderança (2), reconhecimento (1) e assédio e violência no trabalho (1). O respondente indica concordância em escala Likert de cinco pontos (1 = discordo totalmente; 5 = concordo totalmente). O único dado adicional coletado é o setor, opcional, para análise estratificada. A aplicação é anônima e o respondente é informado disso antes de iniciar.</w:t>
      </w:r>
    </w:p>
    <w:p>
      <w:pPr>
        <w:ind w:firstLine="709"/>
        <w:jc w:val="both"/>
      </w:pPr>
      <w:r>
        <w:t>Como as afirmativas são positivas, notas altas indicam condição favorável. A nota média de cada dimensão é classificada em três faixas de risco: risco baixo (média maior ou igual a 3,8), risco médio (média entre 2,8 e 3,8) e risco alto (média inferior a 2,8). Os pontos de corte foram definidos por julgamento técnico, privilegiando a sensibilidade — na dúvida, a dimensão é classificada na faixa mais conservadora — e devem ser reavaliados após a acumulação de séries históricas.</w:t>
      </w:r>
    </w:p>
    <w:p>
      <w:pPr>
        <w:pStyle w:val="Heading2"/>
      </w:pPr>
      <w:r>
        <w:t>3.4 Geração automática do texto para o IRO</w:t>
      </w:r>
    </w:p>
    <w:p>
      <w:pPr>
        <w:ind w:firstLine="709"/>
        <w:jc w:val="both"/>
      </w:pPr>
      <w:r>
        <w:t>A cada acesso ao painel, a plataforma consolida as respostas, calcula as médias por dimensão, aplica a classificação e redige automaticamente a seção de fatores de risco psicossocial do IRO, contendo: base normativa, data de geração, método e número de respondentes, resultado por dimensão com nota média e faixa de risco, recomendação de plano de ação (5W2H) para as dimensões em risco médio ou alto e recomendação de reavaliação periódica com manutenção do histórico. O texto é editável antes da inserção no documento oficial do PGR, preservando a responsabilidade técnica do profissional que o subscreve.</w:t>
      </w:r>
    </w:p>
    <w:p>
      <w:pPr>
        <w:pStyle w:val="Heading2"/>
      </w:pPr>
      <w:r>
        <w:t>3.5 Módulos complementares</w:t>
      </w:r>
    </w:p>
    <w:p>
      <w:pPr>
        <w:ind w:firstLine="709"/>
        <w:jc w:val="both"/>
      </w:pPr>
      <w:r>
        <w:t>Módulo 2 — Permissão de trabalho digital (NR-10/NR-35): o executante seleciona o tipo de serviço — rede desenergizada (linha morta), rede energizada/SEP (linha viva) ou trabalho em altura em postes e estruturas — e a plataforma apresenta o checklist correspondente. Para rede desenergizada, o checklist segue a sequência de desenergização da NR-10 (seccionamento; impedimento de reenergização; constatação da ausência de tensão; aterramento temporário com equipotencialização; proteção dos elementos energizados da zona controlada; sinalização), acrescida da verificação de trabalhadores autorizados, EPI/EPC isolantes e ordem de serviço. Para linha viva/SEP, verifica treinamento complementar SEP, supervisão, luvas isolantes de classe adequada, ferramental isolado, distâncias de segurança, condições climáticas e comunicação com o centro de operação. A liberação exige checklist completo, captura de geolocalização pelo GPS do dispositivo e assinatura digital em tela — o botão de liberação permanece bloqueado até que todas as condições sejam atendidas.</w:t>
      </w:r>
    </w:p>
    <w:p>
      <w:pPr>
        <w:ind w:firstLine="709"/>
        <w:jc w:val="both"/>
      </w:pPr>
      <w:r>
        <w:t>Módulo 3 — Avaliação Ergonômica Preliminar (NR-17): formulário estruturado em cinco blocos de fatores (manuseio de cargas; mobiliário e postos de trabalho; posturas e exigência física; organização do trabalho; condições ambientais do posto e trabalho com telas), avaliados em escala de três pontos. A plataforma classifica cada bloco e gera parecer automático, indicando a necessidade de aprofundamento em Análise Ergonômica do Trabalho (AET) quando algum bloco resulta inadequado, conforme a NR-17.</w:t>
      </w:r>
    </w:p>
    <w:p>
      <w:pPr>
        <w:ind w:firstLine="709"/>
        <w:jc w:val="both"/>
      </w:pPr>
      <w:r>
        <w:t xml:space="preserve">Módulo 4 — Registro e investigação de acidentes e quase acidentes: registro rápido em campo de ocorrências, com classificação (acidente ou quase acidente), descrição, fatores causais em níveis (causas imediatas, subjacentes e básicas) e ações decorrentes, alimentando indicadores no mesmo repositório de dados. </w:t>
      </w:r>
      <w:r>
        <w:rPr>
          <w:b/>
          <w:highlight w:val="yellow"/>
        </w:rPr>
        <w:t>[PREENCHER: ajustar esta descrição ao estado final do módulo na data da entrega]</w:t>
      </w:r>
      <w:r>
        <w:t>.</w:t>
      </w:r>
    </w:p>
    <w:p>
      <w:pPr>
        <w:pStyle w:val="Heading2"/>
      </w:pPr>
      <w:r>
        <w:t>3.6 Aplicação piloto</w:t>
      </w:r>
    </w:p>
    <w:p>
      <w:pPr>
        <w:ind w:firstLine="709"/>
        <w:jc w:val="both"/>
      </w:pPr>
      <w:r>
        <w:t xml:space="preserve">A aplicação piloto foi conduzida em </w:t>
      </w:r>
      <w:r>
        <w:rPr>
          <w:b/>
          <w:highlight w:val="yellow"/>
        </w:rPr>
        <w:t>[PREENCHER: empresa/unidade]</w:t>
      </w:r>
      <w:r>
        <w:t xml:space="preserve">, no período de </w:t>
      </w:r>
      <w:r>
        <w:rPr>
          <w:b/>
          <w:highlight w:val="yellow"/>
        </w:rPr>
        <w:t>[PREENCHER: período]</w:t>
      </w:r>
      <w:r>
        <w:t xml:space="preserve">, abrangendo </w:t>
      </w:r>
      <w:r>
        <w:rPr>
          <w:b/>
          <w:highlight w:val="yellow"/>
        </w:rPr>
        <w:t>[PREENCHER: número]</w:t>
      </w:r>
      <w:r>
        <w:t xml:space="preserve"> trabalhadores dos setores de </w:t>
      </w:r>
      <w:r>
        <w:rPr>
          <w:b/>
          <w:highlight w:val="yellow"/>
        </w:rPr>
        <w:t>[PREENCHER: setores]</w:t>
      </w:r>
      <w:r>
        <w:t xml:space="preserve">. O link da plataforma foi distribuído por </w:t>
      </w:r>
      <w:r>
        <w:rPr>
          <w:b/>
          <w:highlight w:val="yellow"/>
        </w:rPr>
        <w:t>[PREENCHER: canal — ex.: grupos de trabalho, QR code em DDS]</w:t>
      </w:r>
      <w:r>
        <w:t xml:space="preserve">, precedido de comunicação sobre o caráter anônimo e voluntário da participação. </w:t>
      </w:r>
      <w:r>
        <w:rPr>
          <w:b/>
          <w:highlight w:val="yellow"/>
        </w:rPr>
        <w:t>[PREENCHER: registrar aqui eventuais aprovações internas — RH, diretoria — e como foi feita a sensibilização]</w:t>
      </w:r>
      <w:r>
        <w:t>.</w:t>
      </w:r>
    </w:p>
    <w:p>
      <w:r>
        <w:br w:type="page"/>
      </w:r>
    </w:p>
    <w:p>
      <w:pPr>
        <w:pStyle w:val="Heading1"/>
      </w:pPr>
      <w:r>
        <w:t>4 RESULTADOS E DISCUSSÃO</w:t>
      </w:r>
    </w:p>
    <w:p>
      <w:pPr>
        <w:pStyle w:val="Heading2"/>
      </w:pPr>
      <w:r>
        <w:t>4.1 A plataforma implementada</w:t>
      </w:r>
    </w:p>
    <w:p>
      <w:pPr>
        <w:ind w:firstLine="709"/>
        <w:jc w:val="both"/>
      </w:pPr>
      <w:r>
        <w:t xml:space="preserve">A plataforma foi implementada integralmente e está operacional, com os módulos 1 a 3 em uso e o módulo 4 em </w:t>
      </w:r>
      <w:r>
        <w:rPr>
          <w:b/>
          <w:highlight w:val="yellow"/>
        </w:rPr>
        <w:t>[PREENCHER: estado na data da entrega]</w:t>
      </w:r>
      <w:r>
        <w:t xml:space="preserve">. O fluxo do Módulo 1 — da resposta anônima no celular ao texto pronto para o IRO — ocorre sem qualquer etapa manual de tabulação. </w:t>
      </w:r>
      <w:r>
        <w:rPr>
          <w:b/>
          <w:highlight w:val="yellow"/>
        </w:rPr>
        <w:t>[PREENCHER: inserir aqui capturas de tela da aplicação: formulário, painel por dimensão e texto do IRO gerado; e, se possível, foto do uso em campo do Módulo 2]</w:t>
      </w:r>
      <w:r>
        <w:t>.</w:t>
      </w:r>
    </w:p>
    <w:p>
      <w:pPr>
        <w:ind w:firstLine="709"/>
        <w:jc w:val="both"/>
      </w:pPr>
      <w:r>
        <w:t>O custo de operação é nulo: a hospedagem do arquivo HTML é gratuita, e o backend utiliza a camada gratuita do Google Apps Script e do Google Sheets. Como contrapartida, há limites de volume de requisições e de linhas de planilha, discutidos na seção 4.4.</w:t>
      </w:r>
    </w:p>
    <w:p>
      <w:pPr>
        <w:pStyle w:val="Heading2"/>
      </w:pPr>
      <w:r>
        <w:t>4.2 Resultados da aplicação piloto</w:t>
      </w:r>
    </w:p>
    <w:p>
      <w:pPr>
        <w:ind w:firstLine="709"/>
        <w:jc w:val="both"/>
      </w:pPr>
      <w:r>
        <w:rPr>
          <w:b/>
          <w:highlight w:val="yellow"/>
        </w:rPr>
        <w:t>[PREENCHER: apresentar os resultados reais — número de respondentes, taxa de adesão, nota média e classificação por dimensão, comparação entre setores se houver amostra suficiente. Inserir a tabela de resultados por dimensão e o gráfico do painel. NÃO inventar dados.]</w:t>
      </w:r>
    </w:p>
    <w:p>
      <w:pPr>
        <w:ind w:firstLine="709"/>
        <w:jc w:val="both"/>
      </w:pPr>
      <w:r>
        <w:rPr>
          <w:b/>
          <w:highlight w:val="yellow"/>
        </w:rPr>
        <w:t>[PREENCHER: transcrever aqui o texto do IRO gerado pela plataforma para a aplicação real, como evidência do produto final do processo.]</w:t>
      </w:r>
    </w:p>
    <w:p>
      <w:pPr>
        <w:pStyle w:val="Heading2"/>
      </w:pPr>
      <w:r>
        <w:t>4.3 Integração com o PGR e plano de ação</w:t>
      </w:r>
    </w:p>
    <w:p>
      <w:pPr>
        <w:ind w:firstLine="709"/>
        <w:jc w:val="both"/>
      </w:pPr>
      <w:r>
        <w:t xml:space="preserve">O texto gerado pela plataforma foi estruturado para inserção direta na seção de fatores psicossociais do IRO. Para as dimensões classificadas em risco médio ou alto, recomenda-se a elaboração de plano de ação no formato 5W2H, com medidas de natureza organizacional priorizadas sobre medidas individuais, em consonância com a hierarquia de controles da NR-1 e com as diretrizes da OMS. </w:t>
      </w:r>
      <w:r>
        <w:rPr>
          <w:b/>
          <w:highlight w:val="yellow"/>
        </w:rPr>
        <w:t>[PREENCHER: descrever o plano de ação efetivamente elaborado com a empresa a partir dos resultados do piloto]</w:t>
      </w:r>
      <w:r>
        <w:t>.</w:t>
      </w:r>
    </w:p>
    <w:p>
      <w:pPr>
        <w:pStyle w:val="Heading2"/>
      </w:pPr>
      <w:r>
        <w:t>4.4 Limitações</w:t>
      </w:r>
    </w:p>
    <w:p>
      <w:pPr>
        <w:pStyle w:val="ListBullet"/>
        <w:jc w:val="both"/>
      </w:pPr>
      <w:r>
        <w:t>Instrumento de triagem: com dez itens, o instrumento prioriza viabilidade e adesão; não substitui instrumentos psicométricos validados quando se exigir diagnóstico aprofundado, e não passou por validação estatística formal (a validação com amostras maiores é sugerida como trabalho futuro);</w:t>
      </w:r>
    </w:p>
    <w:p>
      <w:pPr>
        <w:pStyle w:val="ListBullet"/>
        <w:jc w:val="both"/>
      </w:pPr>
      <w:r>
        <w:t>Pontos de corte definidos por julgamento técnico, a calibrar com séries históricas;</w:t>
      </w:r>
    </w:p>
    <w:p>
      <w:pPr>
        <w:pStyle w:val="ListBullet"/>
        <w:jc w:val="both"/>
      </w:pPr>
      <w:r>
        <w:t>Ausência de autenticação: qualquer pessoa com o link acessa o formulário e o painel — aceitável no piloto, mas a segmentação por empresa/cliente e o controle de acesso são requisitos para uso comercial;</w:t>
      </w:r>
    </w:p>
    <w:p>
      <w:pPr>
        <w:pStyle w:val="ListBullet"/>
        <w:jc w:val="both"/>
      </w:pPr>
      <w:r>
        <w:t>Limites da camada gratuita do Google Sheets/Apps Script quanto a volume de dados e requisições — a migração para banco de dados dedicado é o caminho natural em caso de escala;</w:t>
      </w:r>
    </w:p>
    <w:p>
      <w:pPr>
        <w:pStyle w:val="ListBullet"/>
        <w:jc w:val="both"/>
      </w:pPr>
      <w:r>
        <w:t>Amostra do piloto restrita a uma organização, o que limita a generalização direta dos resultados.</w:t>
      </w:r>
    </w:p>
    <w:p>
      <w:pPr>
        <w:pStyle w:val="Heading2"/>
      </w:pPr>
      <w:r>
        <w:t>4.5 Discussão</w:t>
      </w:r>
    </w:p>
    <w:p>
      <w:pPr>
        <w:ind w:firstLine="709"/>
        <w:jc w:val="both"/>
      </w:pPr>
      <w:r>
        <w:t xml:space="preserve">Os resultados </w:t>
      </w:r>
      <w:r>
        <w:rPr>
          <w:b/>
          <w:highlight w:val="yellow"/>
        </w:rPr>
        <w:t>[PREENCHER: ajustar conforme os dados reais]</w:t>
      </w:r>
      <w:r>
        <w:t xml:space="preserve"> sugerem que a principal barreira à conformidade com a nova NR-1 não é conceitual, mas operacional: o ciclo identificar–avaliar–documentar–agir é bem descrito na norma e nas referências, porém custoso quando executado manualmente. A digitalização de ponta a ponta reduziu esse custo a praticamente zero na organização estudada, ao mesmo tempo em que melhorou atributos exigidos pela norma: anonimato (coleta sem identificadores), consistência (classificação algorítmica uniforme) e rastreabilidade (registros com data e hora em repositório único). A extensão da mesma base de dados aos módulos de permissão de trabalho, ergonomia e acidentes aponta para o conceito de inventário de riscos vivo, atualizado pelos próprios processos operacionais de SST, em vez de documento estático revisado anualmente.</w:t>
      </w:r>
    </w:p>
    <w:p>
      <w:r>
        <w:br w:type="page"/>
      </w:r>
    </w:p>
    <w:p>
      <w:pPr>
        <w:pStyle w:val="Heading1"/>
      </w:pPr>
      <w:r>
        <w:t>5 CONSIDERAÇÕES FINAIS</w:t>
      </w:r>
    </w:p>
    <w:p>
      <w:pPr>
        <w:ind w:firstLine="709"/>
        <w:jc w:val="both"/>
      </w:pPr>
      <w:r>
        <w:t xml:space="preserve">Este trabalho desenvolveu e aplicou uma plataforma digital de custo zero para a gestão de fatores de risco psicossocial conforme a NR-1, integrada a módulos complementares de permissão de trabalho (NR-10/NR-35), avaliação ergonômica preliminar (NR-17) e registro de acidentes, em uma organização do setor de distribuição de energia elétrica. Os objetivos propostos foram atingidos: o instrumento foi construído e aplicado de forma anônima, a classificação de risco por dimensão foi automatizada e o texto da seção correspondente do IRO passou a ser gerado automaticamente. </w:t>
      </w:r>
      <w:r>
        <w:rPr>
          <w:b/>
          <w:highlight w:val="yellow"/>
        </w:rPr>
        <w:t>[PREENCHER: uma frase com o principal resultado quantitativo do piloto]</w:t>
      </w:r>
      <w:r>
        <w:t>.</w:t>
      </w:r>
    </w:p>
    <w:p>
      <w:pPr>
        <w:ind w:firstLine="709"/>
        <w:jc w:val="both"/>
      </w:pPr>
      <w:r>
        <w:t>Como trabalhos futuros, sugerem-se: a validação psicométrica do instrumento com amostras maiores; a calibração dos pontos de corte com séries históricas; a implementação de autenticação e segregação de dados por empresa; a migração do repositório para banco de dados dedicado; e o acompanhamento longitudinal da eficácia das medidas de controle implantadas a partir dos resultados, fechando o ciclo de melhoria contínua previsto no GRO.</w:t>
      </w:r>
    </w:p>
    <w:p>
      <w:r>
        <w:br w:type="page"/>
      </w:r>
    </w:p>
    <w:p>
      <w:pPr>
        <w:pStyle w:val="Heading1"/>
      </w:pPr>
      <w:r>
        <w:t>REFERÊNCIAS</w:t>
      </w:r>
    </w:p>
    <w:p>
      <w:pPr>
        <w:spacing w:line="240" w:lineRule="auto" w:after="240"/>
        <w:jc w:val="left"/>
      </w:pPr>
      <w:r>
        <w:t>BRASIL. Lei nº 13.709, de 14 de agosto de 2018. Lei Geral de Proteção de Dados Pessoais (LGPD). Diário Oficial da União, Brasília, DF, 15 ago. 2018.</w:t>
      </w:r>
    </w:p>
    <w:p>
      <w:pPr>
        <w:spacing w:line="240" w:lineRule="auto" w:after="240"/>
        <w:jc w:val="left"/>
      </w:pPr>
      <w:r>
        <w:t>BRASIL. Ministério do Trabalho e Emprego. Norma Regulamentadora nº 1 (NR-1): disposições gerais e gerenciamento de riscos ocupacionais. Redação dada pela Portaria MTE nº 1.419, de 27 de agosto de 2024. Brasília, DF: MTE, 2024.</w:t>
      </w:r>
    </w:p>
    <w:p>
      <w:pPr>
        <w:spacing w:line="240" w:lineRule="auto" w:after="240"/>
        <w:jc w:val="left"/>
      </w:pPr>
      <w:r>
        <w:t>BRASIL. Ministério do Trabalho e Emprego. Norma Regulamentadora nº 10 (NR-10): segurança em instalações e serviços em eletricidade. Brasília, DF: MTE, 2019.</w:t>
      </w:r>
    </w:p>
    <w:p>
      <w:pPr>
        <w:spacing w:line="240" w:lineRule="auto" w:after="240"/>
        <w:jc w:val="left"/>
      </w:pPr>
      <w:r>
        <w:t>BRASIL. Ministério do Trabalho e Emprego. Norma Regulamentadora nº 17 (NR-17): ergonomia. Redação dada pela Portaria MTP nº 423, de 7 de outubro de 2021. Brasília, DF: MTE, 2021.</w:t>
      </w:r>
    </w:p>
    <w:p>
      <w:pPr>
        <w:spacing w:line="240" w:lineRule="auto" w:after="240"/>
        <w:jc w:val="left"/>
      </w:pPr>
      <w:r>
        <w:t>BRASIL. Ministério do Trabalho e Emprego. Norma Regulamentadora nº 35 (NR-35): trabalho em altura. Brasília, DF: MTE, [PREENCHER: ano da redação vigente consultada].</w:t>
      </w:r>
    </w:p>
    <w:p>
      <w:pPr>
        <w:spacing w:line="240" w:lineRule="auto" w:after="240"/>
        <w:jc w:val="left"/>
      </w:pPr>
      <w:r>
        <w:t>BRASIL. Ministério do Trabalho e Emprego. Guia de informações sobre os fatores de riscos psicossociais relacionados ao trabalho. Brasília, DF: MTE, 2025. [PREENCHER: conferir título e ano exatos da edição consultada].</w:t>
      </w:r>
    </w:p>
    <w:p>
      <w:pPr>
        <w:spacing w:line="240" w:lineRule="auto" w:after="240"/>
        <w:jc w:val="left"/>
      </w:pPr>
      <w:r>
        <w:t>INTERNATIONAL ORGANIZATION FOR STANDARDIZATION. ISO 45003:2021 — Occupational health and safety management — Psychological health and safety at work: guidelines for managing psychosocial risks. Geneva: ISO, 2021.</w:t>
      </w:r>
    </w:p>
    <w:p>
      <w:pPr>
        <w:spacing w:line="240" w:lineRule="auto" w:after="240"/>
        <w:jc w:val="left"/>
      </w:pPr>
      <w:r>
        <w:t>ASSOCIAÇÃO BRASILEIRA DE NORMAS TÉCNICAS. ABNT NBR ISO 45001:2018 — Sistemas de gestão de saúde e segurança ocupacional: requisitos com orientações para uso. Rio de Janeiro: ABNT, 2018.</w:t>
      </w:r>
    </w:p>
    <w:p>
      <w:pPr>
        <w:spacing w:line="240" w:lineRule="auto" w:after="240"/>
        <w:jc w:val="left"/>
      </w:pPr>
      <w:r>
        <w:t>KARASEK, R. A. Job demands, job decision latitude, and mental strain: implications for job redesign. Administrative Science Quarterly, v. 24, n. 2, p. 285-308, 1979.</w:t>
      </w:r>
    </w:p>
    <w:p>
      <w:pPr>
        <w:spacing w:line="240" w:lineRule="auto" w:after="240"/>
        <w:jc w:val="left"/>
      </w:pPr>
      <w:r>
        <w:t>KRISTENSEN, T. S.; HANNERZ, H.; HØGH, A.; BORG, V. The Copenhagen Psychosocial Questionnaire: a tool for the assessment and improvement of the psychosocial work environment. Scandinavian Journal of Work, Environment &amp; Health, v. 31, n. 6, p. 438-449, 2005.</w:t>
      </w:r>
    </w:p>
    <w:p>
      <w:pPr>
        <w:spacing w:line="240" w:lineRule="auto" w:after="240"/>
        <w:jc w:val="left"/>
      </w:pPr>
      <w:r>
        <w:t>LEKA, S.; JAIN, A. Health impact of psychosocial hazards at work: an overview. Geneva: World Health Organization, 2010.</w:t>
      </w:r>
    </w:p>
    <w:p>
      <w:pPr>
        <w:spacing w:line="240" w:lineRule="auto" w:after="240"/>
        <w:jc w:val="left"/>
      </w:pPr>
      <w:r>
        <w:t>SIEGRIST, J. Adverse health effects of high-effort/low-reward conditions. Journal of Occupational Health Psychology, v. 1, n. 1, p. 27-41, 1996.</w:t>
      </w:r>
    </w:p>
    <w:p>
      <w:pPr>
        <w:spacing w:line="240" w:lineRule="auto" w:after="240"/>
        <w:jc w:val="left"/>
      </w:pPr>
      <w:r>
        <w:t>WORLD HEALTH ORGANIZATION. WHO guidelines on mental health at work. Geneva: WHO, 2022.</w:t>
      </w:r>
    </w:p>
    <w:p>
      <w:r>
        <w:br w:type="page"/>
      </w:r>
    </w:p>
    <w:p>
      <w:pPr>
        <w:pStyle w:val="Heading1"/>
      </w:pPr>
      <w:r>
        <w:t>APÊNDICE A — INSTRUMENTO DE AVALIAÇÃO APLICADO</w:t>
      </w:r>
    </w:p>
    <w:p>
      <w:pPr>
        <w:jc w:val="both"/>
      </w:pPr>
      <w:r>
        <w:t>Itens do questionário (escala: 1 = discordo totalmente a 5 = concordo totalmente; respostas anônimas; único dado adicional: setor, opcional).</w:t>
      </w:r>
    </w:p>
    <w:p>
      <w:pPr>
        <w:pStyle w:val="ListBullet"/>
        <w:jc w:val="both"/>
      </w:pPr>
      <w:r>
        <w:t>1. (Carga e ritmo de trabalho) Tenho tempo suficiente para realizar minhas tarefas com qualidade.</w:t>
      </w:r>
    </w:p>
    <w:p>
      <w:pPr>
        <w:pStyle w:val="ListBullet"/>
        <w:jc w:val="both"/>
      </w:pPr>
      <w:r>
        <w:t>2. (Carga e ritmo de trabalho) Raramente preciso trabalhar sob pressão intensa de prazos.</w:t>
      </w:r>
    </w:p>
    <w:p>
      <w:pPr>
        <w:pStyle w:val="ListBullet"/>
        <w:jc w:val="both"/>
      </w:pPr>
      <w:r>
        <w:t>3. (Autonomia e controle) Tenho liberdade para decidir como organizar meu trabalho.</w:t>
      </w:r>
    </w:p>
    <w:p>
      <w:pPr>
        <w:pStyle w:val="ListBullet"/>
        <w:jc w:val="both"/>
      </w:pPr>
      <w:r>
        <w:t>4. (Autonomia e controle) Minhas opiniões são consideradas nas decisões que afetam meu trabalho.</w:t>
      </w:r>
    </w:p>
    <w:p>
      <w:pPr>
        <w:pStyle w:val="ListBullet"/>
        <w:jc w:val="both"/>
      </w:pPr>
      <w:r>
        <w:t>5. (Clareza de papel) Sei exatamente o que se espera de mim no meu cargo.</w:t>
      </w:r>
    </w:p>
    <w:p>
      <w:pPr>
        <w:pStyle w:val="ListBullet"/>
        <w:jc w:val="both"/>
      </w:pPr>
      <w:r>
        <w:t>6. (Clareza de papel) Não recebo instruções contraditórias sobre minhas tarefas.</w:t>
      </w:r>
    </w:p>
    <w:p>
      <w:pPr>
        <w:pStyle w:val="ListBullet"/>
        <w:jc w:val="both"/>
      </w:pPr>
      <w:r>
        <w:t>7. (Apoio social e de liderança) Posso contar com o apoio da minha liderança quando necessário.</w:t>
      </w:r>
    </w:p>
    <w:p>
      <w:pPr>
        <w:pStyle w:val="ListBullet"/>
        <w:jc w:val="both"/>
      </w:pPr>
      <w:r>
        <w:t>8. (Apoio social e de liderança) Existe boa colaboração entre os membros da minha equipe.</w:t>
      </w:r>
    </w:p>
    <w:p>
      <w:pPr>
        <w:pStyle w:val="ListBullet"/>
        <w:jc w:val="both"/>
      </w:pPr>
      <w:r>
        <w:t>9. (Reconhecimento) Meu trabalho é reconhecido e valorizado pela organização.</w:t>
      </w:r>
    </w:p>
    <w:p>
      <w:pPr>
        <w:pStyle w:val="ListBullet"/>
        <w:jc w:val="both"/>
      </w:pPr>
      <w:r>
        <w:t>10. (Assédio e violência no trabalho) Nos últimos 12 meses, não presenciei nem sofri situações de assédio moral ou sexual no trabalho.</w:t>
      </w:r>
    </w:p>
    <w:sectPr w:rsidR="00FC693F" w:rsidRPr="0006063C" w:rsidSect="00034616">
      <w:head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line="360" w:lineRule="auto"/>
      <w:outlineLvl w:val="0"/>
    </w:pPr>
    <w:rPr>
      <w:rFonts w:asciiTheme="majorHAnsi" w:eastAsiaTheme="majorEastAsia" w:hAnsiTheme="majorHAnsi" w:cstheme="majorBidi" w:ascii="Arial" w:hAnsi="Arial" w:eastAsia="Arial"/>
      <w:b/>
      <w:bCs/>
      <w:sz w:val="24"/>
      <w:szCs w:val="28"/>
    </w:rPr>
  </w:style>
  <w:style w:type="paragraph" w:styleId="Heading2">
    <w:name w:val="heading 2"/>
    <w:basedOn w:val="Normal"/>
    <w:next w:val="Normal"/>
    <w:link w:val="Heading2Char"/>
    <w:uiPriority w:val="9"/>
    <w:unhideWhenUsed/>
    <w:qFormat/>
    <w:rsid w:val="00FC693F"/>
    <w:pPr>
      <w:keepNext/>
      <w:keepLines/>
      <w:spacing w:before="360" w:after="240" w:line="360" w:lineRule="auto"/>
      <w:outlineLvl w:val="1"/>
    </w:pPr>
    <w:rPr>
      <w:rFonts w:asciiTheme="majorHAnsi" w:eastAsiaTheme="majorEastAsia" w:hAnsiTheme="majorHAnsi" w:cstheme="majorBidi" w:ascii="Arial" w:hAnsi="Arial" w:eastAsia="Arial"/>
      <w:b/>
      <w:bCs/>
      <w:sz w:val="24"/>
      <w:szCs w:val="26"/>
    </w:rPr>
  </w:style>
  <w:style w:type="paragraph" w:styleId="Heading3">
    <w:name w:val="heading 3"/>
    <w:basedOn w:val="Normal"/>
    <w:next w:val="Normal"/>
    <w:link w:val="Heading3Char"/>
    <w:uiPriority w:val="9"/>
    <w:unhideWhenUsed/>
    <w:qFormat/>
    <w:rsid w:val="00FC693F"/>
    <w:pPr>
      <w:keepNext/>
      <w:keepLines/>
      <w:spacing w:before="360" w:after="240" w:line="360" w:lineRule="auto"/>
      <w:outlineLvl w:val="2"/>
    </w:pPr>
    <w:rPr>
      <w:rFonts w:asciiTheme="majorHAnsi" w:eastAsiaTheme="majorEastAsia" w:hAnsiTheme="majorHAnsi" w:cstheme="majorBidi" w:ascii="Arial" w:hAnsi="Arial" w:eastAsia="Arial"/>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