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Analytics Project – Summary Report</w:t>
      </w:r>
    </w:p>
    <w:p>
      <w:r>
        <w:br/>
        <w:t>This report summarizes key findings from a marketing campaign dataset analyzed using Google Sheets and pivot tables. The analysis provides insights into customer behavior and campaign effectiveness based on demographic and behavioral segments.</w:t>
        <w:br/>
      </w:r>
    </w:p>
    <w:p>
      <w:pPr>
        <w:pStyle w:val="Heading1"/>
      </w:pPr>
      <w:r>
        <w:t>1. Campaign Response vs Education</w:t>
      </w:r>
    </w:p>
    <w:p>
      <w:r>
        <w:br/>
        <w:t>- Basic and graduate education groups show higher response counts.</w:t>
        <w:br/>
        <w:t>- PhD and Master’s holders respond less, suggesting possible disinterest or misaligned messaging.</w:t>
        <w:br/>
        <w:t>- Insight: Target campaigns toward basic and graduate-educated customers for better engagement.</w:t>
        <w:br/>
      </w:r>
    </w:p>
    <w:p>
      <w:pPr>
        <w:pStyle w:val="Heading1"/>
      </w:pPr>
      <w:r>
        <w:t>2. Accepted Offers vs Number of Children</w:t>
      </w:r>
    </w:p>
    <w:p>
      <w:r>
        <w:br/>
        <w:t>- Customers with fewer children (0–1) accept more marketing offers.</w:t>
        <w:br/>
        <w:t>- Those with 2+ kids tend to respond less, likely due to financial constraints or time limitations.</w:t>
        <w:br/>
        <w:t>- Insight: Tailor campaign value and frequency based on family size.</w:t>
        <w:br/>
      </w:r>
    </w:p>
    <w:p>
      <w:pPr>
        <w:pStyle w:val="Heading1"/>
      </w:pPr>
      <w:r>
        <w:t>3. Total Spend vs Age</w:t>
      </w:r>
    </w:p>
    <w:p>
      <w:r>
        <w:br/>
        <w:t>- Spending increases with age, peaking around 35–50 years old.</w:t>
        <w:br/>
        <w:t>- Younger and older age brackets spend less.</w:t>
        <w:br/>
        <w:t>- Insight: Focus upselling efforts on the 35–50 age bracket.</w:t>
        <w:br/>
      </w:r>
    </w:p>
    <w:p>
      <w:pPr>
        <w:pStyle w:val="Heading1"/>
      </w:pPr>
      <w:r>
        <w:t>4. Response vs Total Spend</w:t>
      </w:r>
    </w:p>
    <w:p>
      <w:r>
        <w:br/>
        <w:t>- Responders generally fall within moderate to high spenders.</w:t>
        <w:br/>
        <w:t>- Very high spenders often don’t respond, possibly due to loyalty or indifference to deals.</w:t>
        <w:br/>
        <w:t>- Insight: Focus on nurturing mid-tier spenders for better campaign ROI.</w:t>
        <w:br/>
      </w:r>
    </w:p>
    <w:p>
      <w:pPr>
        <w:pStyle w:val="Heading1"/>
      </w:pPr>
      <w:r>
        <w:t>5. Income vs Education</w:t>
      </w:r>
    </w:p>
    <w:p>
      <w:r>
        <w:br/>
        <w:t>- Higher education correlates with higher income.</w:t>
        <w:br/>
        <w:t>- However, top-income earners are less responsive to campaigns.</w:t>
        <w:br/>
        <w:t>- Insight: Customize messaging and value proposition for high-income groups.</w:t>
        <w:br/>
      </w:r>
    </w:p>
    <w:p>
      <w:pPr>
        <w:pStyle w:val="Heading1"/>
      </w:pPr>
      <w:r>
        <w:t>6. Total Spend vs Marital Status</w:t>
      </w:r>
    </w:p>
    <w:p>
      <w:r>
        <w:br/>
        <w:t>- Married and partnered individuals are the highest spenders.</w:t>
        <w:br/>
        <w:t>- Divorced and widowed groups spend less.</w:t>
        <w:br/>
        <w:t>- Insight: Target household and family products to married segments.</w:t>
        <w:br/>
      </w:r>
    </w:p>
    <w:p>
      <w:pPr>
        <w:pStyle w:val="Heading1"/>
      </w:pPr>
      <w:r>
        <w:t>Strategic Insights &amp; Recommendations</w:t>
      </w:r>
    </w:p>
    <w:p>
      <w:r>
        <w:br/>
        <w:t>1. Prioritize customers aged 35–50 for higher engagement and spending.</w:t>
        <w:br/>
        <w:t>2. Customize campaigns by number of children to improve targeting.</w:t>
        <w:br/>
        <w:t>3. Avoid generic campaigns for high-income and highly educated customers.</w:t>
        <w:br/>
        <w:t>4. Strengthen offers for basic and graduate-educated customers.</w:t>
        <w:br/>
        <w:t>5. Use family status to inform product positioning and pricing models.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