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t>La Plata, 15 de junio de 2022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Archivo Cartas 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Arquitectura:                        x86_64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de operación de las CPUs:    32-bit, 64-bit</w:t>
      </w:r>
    </w:p>
    <w:p>
      <w:pPr>
        <w:pStyle w:val="Textopreformateado"/>
        <w:bidi w:val="0"/>
        <w:spacing w:before="0" w:after="0"/>
        <w:jc w:val="left"/>
        <w:rPr/>
      </w:pPr>
      <w:r>
        <w:rPr/>
        <w:t>Orden de los bytes:                  Little Endian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Tamaños de las direcciones:          48 bits physical, 48 bits virtual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CPU(s):                              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Lista de la(s) CPU(s) en línea: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Hilo(s) de procesamiento por núcleo: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Núcleo(s) por «socket»:             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«Socket(s)»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NUMA: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ID de fabricante:                    AuthenticAMD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Familia de CPU:                      21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Modelo:                              48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Nombre del modelo:                   AMD A10-7700K Radeon R7, 10 Compute Cores 4C+6G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Revisión:  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Aumento de frecuencia:               activada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MHz:                             2366.568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máx.:                        3400,0000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mín.:                        1900,0000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BogoMIPS:                            6786.81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Virtualización:                      AMD-V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L1d:                           32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L1i:                           192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L2:                            4 MiB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 del nodo NUMA 0:        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Itlb multihit: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L1tf: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Mds: 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Meltdown: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 store bypass:     Mitigation; Speculative Store Bypass disabled via prctl and seccomp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v1:            Mitigation; usercopy/swapgs barriers and __user pointer sanitization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v2:            Mitigation; Retpolines, STIBP disabled, RSB filling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Srbds: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Tsx async abort: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Indicadores:                         fpu vme de pse tsc msr pae mce cx8 apic sep mtrr pge mca cmov pat pse36 clflush mmx fxsr sse sse2 ht syscall nx mmxext fxsr_opt pdpe1gb rdtscp lm constant_tsc rep_good nopl nonstop_tsc cpuid extd_apicid aperfmperf pni pclmulqdq monitor ssse3 fma cx16 sse4_1 sse4_2 popcnt aes xsave avx f16c lahf_lm cmp_legacy svm extapic cr8_legacy abm sse4a misalignsse 3dnowprefetch osvw ibs xop skinit wdt lwp fma4 tce nodeid_msr tbm topoext perfctr_core perfctr_nb bpext ptsc cpb hw_pstate ssbd vmmcall fsgsbase bmi1 xsaveopt arat npt lbrv svm_lock nrip_save tsc_scale vmcb_clean flushbyasid decodeassists pausefilter pfthreshold overflow_recov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Firma:________________________________________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Aclaración: Decano Nuevo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