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0D2B6E" w:sz="4"/>
          <w:left w:val="single" w:color="0D2B6E" w:sz="4"/>
          <w:bottom w:val="single" w:color="C9A84C" w:sz="24"/>
          <w:right w:val="single" w:color="0D2B6E" w:sz="4"/>
          <w:insideH w:val="none" w:color="FFFFFF" w:sz="0"/>
          <w:insideV w:val="single" w:color="2E4A86" w:sz="4"/>
        </w:tblBorders>
      </w:tblPr>
      <w:tblGrid>
        <w:gridCol w:w="5103"/>
        <w:gridCol w:w="5103"/>
      </w:tblGrid>
      <w:tr>
        <w:trPr>
          <w:cantSplit/>
        </w:trPr>
        <w:tc>
          <w:tcPr>
            <w:tcW w:type="dxa" w:w="5103"/>
            <w:shd w:fill="0D2B6E" w:color="auto" w:val="clear"/>
            <w:tcMar>
              <w:top w:type="dxa" w:w="160"/>
              <w:left w:type="dxa" w:w="200"/>
              <w:bottom w:type="dxa" w:w="140"/>
              <w:right w:type="dxa" w:w="200"/>
            </w:tcMar>
            <w:vAlign w:val="top"/>
          </w:tcPr>
          <w:tbl>
            <w:tblPr>
              <w:tblW w:type="dxa" w:w="4700"/>
              <w:tblBorders>
                <w:top w:val="single" w:color="9AA6BC" w:sz="4"/>
                <w:left w:val="single" w:color="9AA6BC" w:sz="4"/>
                <w:bottom w:val="single" w:color="9AA6BC" w:sz="4"/>
                <w:right w:val="single" w:color="9AA6BC" w:sz="4"/>
                <w:insideH w:val="single" w:color="9AA6BC" w:sz="4"/>
                <w:insideV w:val="single" w:color="9AA6BC" w:sz="4"/>
              </w:tblBorders>
            </w:tblPr>
            <w:tblGrid>
              <w:gridCol w:w="4700"/>
            </w:tblGrid>
            <w:tr>
              <w:trPr>
                <w:cantSplit/>
                <w:trHeight w:val="1150" w:hRule="atLeast"/>
              </w:trPr>
              <w:tc>
                <w:tcPr>
                  <w:tcW w:type="dxa" w:w="4700"/>
                  <w:shd w:fill="FFFFFF" w:color="auto" w:val="clear"/>
                  <w:tcMar>
                    <w:top w:type="dxa" w:w="120"/>
                    <w:left w:type="dxa" w:w="160"/>
                    <w:bottom w:type="dxa" w:w="120"/>
                    <w:right w:type="dxa" w:w="160"/>
                  </w:tcMar>
                  <w:vAlign w:val="center"/>
                </w:tcPr>
                <w:p>
                  <w:pPr>
                    <w:spacing w:after="0" w:before="0"/>
                    <w:jc w:val="center"/>
                  </w:pPr>
                  <w:r>
                    <w:rPr>
                      <w:rFonts w:ascii="Cambria" w:cs="Cambria" w:eastAsia="Cambria" w:hAnsi="Cambria"/>
                      <w:b/>
                      <w:bCs/>
                      <w:color w:val="0D2B6E"/>
                      <w:sz w:val="52"/>
                      <w:szCs w:val="52"/>
                    </w:rPr>
                    <w:t xml:space="preserve">STFC</w:t>
                  </w:r>
                  <w:r>
                    <w:rPr>
                      <w:rFonts w:ascii="Cambria" w:cs="Cambria" w:eastAsia="Cambria" w:hAnsi="Cambria"/>
                      <w:b/>
                      <w:bCs/>
                      <w:i/>
                      <w:iCs/>
                      <w:color w:val="C9A84C"/>
                      <w:sz w:val="30"/>
                      <w:szCs w:val="30"/>
                    </w:rPr>
                    <w:t xml:space="preserve">  Expertise</w:t>
                  </w:r>
                </w:p>
                <w:p>
                  <w:pPr>
                    <w:spacing w:after="0" w:before="0"/>
                    <w:jc w:val="center"/>
                  </w:pPr>
                  <w:r>
                    <w:rPr>
                      <w:rFonts w:ascii="Calibri" w:cs="Calibri" w:eastAsia="Calibri" w:hAnsi="Calibri"/>
                      <w:b/>
                      <w:bCs/>
                      <w:color w:val="6174A0"/>
                      <w:sz w:val="14"/>
                      <w:szCs w:val="14"/>
                    </w:rPr>
                    <w:t xml:space="preserve">S T R A T   F O C U S   C O N S U L T I N G</w:t>
                  </w:r>
                </w:p>
              </w:tc>
            </w:tr>
          </w:tbl>
          <w:p>
            <w:pPr>
              <w:spacing w:after="0" w:before="100"/>
            </w:pPr>
            <w:r>
              <w:rPr>
                <w:rFonts w:ascii="Calibri" w:cs="Calibri" w:eastAsia="Calibri" w:hAnsi="Calibri"/>
                <w:b/>
                <w:bCs/>
                <w:color w:val="FFFFFF"/>
                <w:sz w:val="16"/>
                <w:szCs w:val="16"/>
              </w:rPr>
              <w:t xml:space="preserve">Stratégie · Performance Commerciale · Marketing d’Innovation</w:t>
            </w:r>
          </w:p>
          <w:p>
            <w:pPr>
              <w:spacing w:after="0" w:before="0"/>
            </w:pPr>
            <w:r>
              <w:rPr>
                <w:rFonts w:ascii="Cambria" w:cs="Cambria" w:eastAsia="Cambria" w:hAnsi="Cambria"/>
                <w:i/>
                <w:iCs/>
                <w:color w:val="C9A84C"/>
                <w:sz w:val="16"/>
                <w:szCs w:val="16"/>
              </w:rPr>
              <w:t xml:space="preserve">Parce que votre chiffre d’affaires compte</w:t>
            </w:r>
          </w:p>
        </w:tc>
        <w:tc>
          <w:tcPr>
            <w:tcW w:type="dxa" w:w="5103"/>
            <w:shd w:fill="0D2B6E" w:color="auto" w:val="clear"/>
            <w:tcMar>
              <w:top w:type="dxa" w:w="160"/>
              <w:left w:type="dxa" w:w="200"/>
              <w:bottom w:type="dxa" w:w="140"/>
              <w:right w:type="dxa" w:w="200"/>
            </w:tcMar>
            <w:vAlign w:val="top"/>
          </w:tcPr>
          <w:tbl>
            <w:tblPr>
              <w:tblW w:type="dxa" w:w="4700"/>
              <w:tblBorders>
                <w:top w:val="single" w:color="9AA6BC" w:sz="4"/>
                <w:left w:val="single" w:color="9AA6BC" w:sz="4"/>
                <w:bottom w:val="single" w:color="9AA6BC" w:sz="4"/>
                <w:right w:val="single" w:color="9AA6BC" w:sz="4"/>
                <w:insideH w:val="single" w:color="9AA6BC" w:sz="4"/>
                <w:insideV w:val="single" w:color="9AA6BC" w:sz="4"/>
              </w:tblBorders>
            </w:tblPr>
            <w:tblGrid>
              <w:gridCol w:w="4700"/>
            </w:tblGrid>
            <w:tr>
              <w:trPr>
                <w:cantSplit/>
                <w:trHeight w:val="1150" w:hRule="atLeast"/>
              </w:trPr>
              <w:tc>
                <w:tcPr>
                  <w:tcW w:type="dxa" w:w="4700"/>
                  <w:shd w:fill="FFFFFF" w:color="auto" w:val="clear"/>
                  <w:tcMar>
                    <w:top w:type="dxa" w:w="120"/>
                    <w:left w:type="dxa" w:w="160"/>
                    <w:bottom w:type="dxa" w:w="120"/>
                    <w:right w:type="dxa" w:w="160"/>
                  </w:tcMar>
                  <w:vAlign w:val="center"/>
                </w:tcPr>
                <w:p>
                  <w:pPr>
                    <w:spacing w:after="40" w:before="0"/>
                    <w:jc w:val="right"/>
                  </w:pPr>
                  <w:r>
                    <w:rPr>
                      <w:rFonts w:ascii="Cambria" w:cs="Cambria" w:eastAsia="Cambria" w:hAnsi="Cambria"/>
                      <w:b/>
                      <w:bCs/>
                      <w:color w:val="0D2B6E"/>
                      <w:sz w:val="26"/>
                      <w:szCs w:val="26"/>
                    </w:rPr>
                    <w:t xml:space="preserve">CONDITIONS GÉNÉRALES DE VENTE</w:t>
                  </w:r>
                </w:p>
                <w:p>
                  <w:pPr>
                    <w:spacing w:after="0" w:before="0"/>
                    <w:jc w:val="right"/>
                  </w:pPr>
                  <w:r>
                    <w:rPr>
                      <w:rFonts w:ascii="Calibri" w:cs="Calibri" w:eastAsia="Calibri" w:hAnsi="Calibri"/>
                      <w:b/>
                      <w:bCs/>
                      <w:color w:val="7D8698"/>
                      <w:sz w:val="16"/>
                      <w:szCs w:val="16"/>
                    </w:rPr>
                    <w:t xml:space="preserve">Version : </w:t>
                  </w:r>
                  <w:r>
                    <w:rPr>
                      <w:rFonts w:ascii="Calibri" w:cs="Calibri" w:eastAsia="Calibri" w:hAnsi="Calibri"/>
                      <w:b/>
                      <w:bCs/>
                      <w:color w:val="1B2433"/>
                      <w:sz w:val="16"/>
                      <w:szCs w:val="16"/>
                    </w:rPr>
                    <w:t xml:space="preserve">2026-01</w:t>
                  </w:r>
                </w:p>
                <w:p>
                  <w:pPr>
                    <w:spacing w:after="0" w:before="0"/>
                    <w:jc w:val="right"/>
                  </w:pPr>
                  <w:r>
                    <w:rPr>
                      <w:rFonts w:ascii="Calibri" w:cs="Calibri" w:eastAsia="Calibri" w:hAnsi="Calibri"/>
                      <w:b/>
                      <w:bCs/>
                      <w:color w:val="7D8698"/>
                      <w:sz w:val="16"/>
                      <w:szCs w:val="16"/>
                    </w:rPr>
                    <w:t xml:space="preserve">Date d’effet : </w:t>
                  </w:r>
                  <w:r>
                    <w:rPr>
                      <w:rFonts w:ascii="Calibri" w:cs="Calibri" w:eastAsia="Calibri" w:hAnsi="Calibri"/>
                      <w:b/>
                      <w:bCs/>
                      <w:color w:val="1B2433"/>
                      <w:sz w:val="16"/>
                      <w:szCs w:val="16"/>
                    </w:rPr>
                    <w:t xml:space="preserve">……/……/2026</w:t>
                  </w:r>
                </w:p>
              </w:tc>
            </w:tr>
          </w:tbl>
          <w:p/>
        </w:tc>
      </w:tr>
    </w:tbl>
    <w:p>
      <w:pPr>
        <w:spacing w:after="60" w:before="0"/>
      </w:pPr>
      <w:r>
        <w:rPr>
          <w:rFonts w:ascii="Calibri" w:cs="Calibri" w:eastAsia="Calibri" w:hAnsi="Calibri"/>
          <w:color w:val="1B2433"/>
          <w:sz w:val="20"/>
          <w:szCs w:val="20"/>
        </w:rPr>
        <w:t xml:space="preserve"/>
      </w:r>
    </w:p>
    <w:p>
      <w:pPr>
        <w:spacing w:after="60" w:before="0"/>
      </w:pPr>
      <w:r>
        <w:rPr>
          <w:rFonts w:ascii="Calibri" w:cs="Calibri" w:eastAsia="Calibri" w:hAnsi="Calibri"/>
          <w:i/>
          <w:iCs/>
          <w:color w:val="7D8698"/>
          <w:sz w:val="16"/>
          <w:szCs w:val="16"/>
        </w:rPr>
        <w:t xml:space="preserve">Modèle de travail : à faire valider par un juriste ou un conseil inscrit au Congo avant toute utilisation contractuelle.</w:t>
      </w:r>
    </w:p>
    <w:p>
      <w:pPr>
        <w:keepNext/>
        <w:spacing w:after="60" w:before="160"/>
      </w:pPr>
      <w:r>
        <w:rPr>
          <w:rFonts w:ascii="Cambria" w:cs="Cambria" w:eastAsia="Cambria" w:hAnsi="Cambria"/>
          <w:b/>
          <w:bCs/>
          <w:color w:val="C9A84C"/>
          <w:sz w:val="21"/>
          <w:szCs w:val="21"/>
        </w:rPr>
        <w:t xml:space="preserve">Article 1 — </w:t>
      </w:r>
      <w:r>
        <w:rPr>
          <w:rFonts w:ascii="Cambria" w:cs="Cambria" w:eastAsia="Cambria" w:hAnsi="Cambria"/>
          <w:b/>
          <w:bCs/>
          <w:color w:val="0D2B6E"/>
          <w:sz w:val="21"/>
          <w:szCs w:val="21"/>
        </w:rPr>
        <w:t xml:space="preserve">Objet et champ d’application</w:t>
      </w:r>
    </w:p>
    <w:p>
      <w:pPr>
        <w:spacing w:after="80" w:before="0"/>
        <w:jc w:val="both"/>
      </w:pPr>
      <w:r>
        <w:rPr>
          <w:rFonts w:ascii="Calibri" w:cs="Calibri" w:eastAsia="Calibri" w:hAnsi="Calibri"/>
          <w:color w:val="1B2433"/>
          <w:sz w:val="19"/>
          <w:szCs w:val="19"/>
        </w:rPr>
        <w:t xml:space="preserve">Les présentes Conditions Générales de Vente (CGV) régissent l’ensemble des prestations de conseil, d’accompagnement, de formation et de transformation digitale réalisées par STRAT FOCUS CONSULTING (ci-après « STFC » ou « le Prestataire ») pour le compte de ses clients professionnels (ci-après « le Client »). Toute commande implique l’acceptation sans réserve des présentes CGV, qui prévalent sur tout autre document du Client, sauf dérogation écrite et signée par STFC.</w:t>
      </w:r>
    </w:p>
    <w:p>
      <w:pPr>
        <w:keepNext/>
        <w:spacing w:after="60" w:before="160"/>
      </w:pPr>
      <w:r>
        <w:rPr>
          <w:rFonts w:ascii="Cambria" w:cs="Cambria" w:eastAsia="Cambria" w:hAnsi="Cambria"/>
          <w:b/>
          <w:bCs/>
          <w:color w:val="C9A84C"/>
          <w:sz w:val="21"/>
          <w:szCs w:val="21"/>
        </w:rPr>
        <w:t xml:space="preserve">Article 2 — </w:t>
      </w:r>
      <w:r>
        <w:rPr>
          <w:rFonts w:ascii="Cambria" w:cs="Cambria" w:eastAsia="Cambria" w:hAnsi="Cambria"/>
          <w:b/>
          <w:bCs/>
          <w:color w:val="0D2B6E"/>
          <w:sz w:val="21"/>
          <w:szCs w:val="21"/>
        </w:rPr>
        <w:t xml:space="preserve">Identification du Prestataire</w:t>
      </w:r>
    </w:p>
    <w:p>
      <w:pPr>
        <w:spacing w:after="80" w:before="0"/>
        <w:jc w:val="both"/>
      </w:pPr>
      <w:r>
        <w:rPr>
          <w:rFonts w:ascii="Calibri" w:cs="Calibri" w:eastAsia="Calibri" w:hAnsi="Calibri"/>
          <w:color w:val="1B2433"/>
          <w:sz w:val="19"/>
          <w:szCs w:val="19"/>
        </w:rPr>
        <w:t xml:space="preserve">STRAT FOCUS CONSULTING — STFC Expertise, cabinet de conseil en stratégie, performance commerciale et marketing d’innovation. Siège : Zone OCI, 200 m du Parc Culture, Quartier MPITA, Pointe-Noire, République du Congo. RCCM CG-PNR-01-2025-A11-00010 — NIU : [à compléter]. E-mail : stratfocusconsulting@gmail.com.</w:t>
      </w:r>
    </w:p>
    <w:p>
      <w:pPr>
        <w:keepNext/>
        <w:spacing w:after="60" w:before="160"/>
      </w:pPr>
      <w:r>
        <w:rPr>
          <w:rFonts w:ascii="Cambria" w:cs="Cambria" w:eastAsia="Cambria" w:hAnsi="Cambria"/>
          <w:b/>
          <w:bCs/>
          <w:color w:val="C9A84C"/>
          <w:sz w:val="21"/>
          <w:szCs w:val="21"/>
        </w:rPr>
        <w:t xml:space="preserve">Article 3 — </w:t>
      </w:r>
      <w:r>
        <w:rPr>
          <w:rFonts w:ascii="Cambria" w:cs="Cambria" w:eastAsia="Cambria" w:hAnsi="Cambria"/>
          <w:b/>
          <w:bCs/>
          <w:color w:val="0D2B6E"/>
          <w:sz w:val="21"/>
          <w:szCs w:val="21"/>
        </w:rPr>
        <w:t xml:space="preserve">Offres de services</w:t>
      </w:r>
    </w:p>
    <w:p>
      <w:pPr>
        <w:spacing w:after="80" w:before="0"/>
        <w:jc w:val="both"/>
      </w:pPr>
      <w:r>
        <w:rPr>
          <w:rFonts w:ascii="Calibri" w:cs="Calibri" w:eastAsia="Calibri" w:hAnsi="Calibri"/>
          <w:color w:val="1B2433"/>
          <w:sz w:val="19"/>
          <w:szCs w:val="19"/>
        </w:rPr>
        <w:t xml:space="preserve">STFC propose quatre offres, combinables entre elles :</w:t>
      </w:r>
    </w:p>
    <w:p>
      <w:pPr>
        <w:pStyle w:val="ListParagraph"/>
        <w:numPr>
          <w:ilvl w:val="0"/>
          <w:numId w:val="2"/>
        </w:numPr>
        <w:spacing w:after="40" w:before="0"/>
      </w:pPr>
      <w:r>
        <w:rPr>
          <w:rFonts w:ascii="Calibri" w:cs="Calibri" w:eastAsia="Calibri" w:hAnsi="Calibri"/>
          <w:color w:val="1B2433"/>
          <w:sz w:val="19"/>
          <w:szCs w:val="19"/>
        </w:rPr>
        <w:t xml:space="preserve">STFC Audit — Diagnostic commercial et marketing approfondi (≈ 1 mois) — restitution stratégique et feuille de route à 90 jours.</w:t>
      </w:r>
    </w:p>
    <w:p>
      <w:pPr>
        <w:pStyle w:val="ListParagraph"/>
        <w:numPr>
          <w:ilvl w:val="0"/>
          <w:numId w:val="2"/>
        </w:numPr>
        <w:spacing w:after="40" w:before="0"/>
      </w:pPr>
      <w:r>
        <w:rPr>
          <w:rFonts w:ascii="Calibri" w:cs="Calibri" w:eastAsia="Calibri" w:hAnsi="Calibri"/>
          <w:color w:val="1B2433"/>
          <w:sz w:val="19"/>
          <w:szCs w:val="19"/>
        </w:rPr>
        <w:t xml:space="preserve">STFC Croissance — Accompagnement stratégique et opérationnel (3 à 12 mois) — Plan d’Action Commerciale, CRM, tableaux de bord, suivi mensuel.</w:t>
      </w:r>
    </w:p>
    <w:p>
      <w:pPr>
        <w:pStyle w:val="ListParagraph"/>
        <w:numPr>
          <w:ilvl w:val="0"/>
          <w:numId w:val="2"/>
        </w:numPr>
        <w:spacing w:after="40" w:before="0"/>
      </w:pPr>
      <w:r>
        <w:rPr>
          <w:rFonts w:ascii="Calibri" w:cs="Calibri" w:eastAsia="Calibri" w:hAnsi="Calibri"/>
          <w:color w:val="1B2433"/>
          <w:sz w:val="19"/>
          <w:szCs w:val="19"/>
        </w:rPr>
        <w:t xml:space="preserve">STFC Transformation Digitale — Diagnostic de maturité digitale, feuille de route, conception et déploiement d’outils (site vitrine, e-commerce, portail, CRM, réseaux sociaux), conduite du changement et transfert d’autonomie.</w:t>
      </w:r>
    </w:p>
    <w:p>
      <w:pPr>
        <w:pStyle w:val="ListParagraph"/>
        <w:numPr>
          <w:ilvl w:val="0"/>
          <w:numId w:val="2"/>
        </w:numPr>
        <w:spacing w:after="40" w:before="0"/>
      </w:pPr>
      <w:r>
        <w:rPr>
          <w:rFonts w:ascii="Calibri" w:cs="Calibri" w:eastAsia="Calibri" w:hAnsi="Calibri"/>
          <w:color w:val="1B2433"/>
          <w:sz w:val="19"/>
          <w:szCs w:val="19"/>
        </w:rPr>
        <w:t xml:space="preserve">STFC Academy — Parcours de formation des équipes commerciales et marketing (1 à 3 mois) — 9 modules en ateliers d’immersion et cas pratiques.</w:t>
      </w:r>
    </w:p>
    <w:p>
      <w:pPr>
        <w:spacing w:after="80" w:before="0"/>
        <w:jc w:val="both"/>
      </w:pPr>
      <w:r>
        <w:rPr>
          <w:rFonts w:ascii="Calibri" w:cs="Calibri" w:eastAsia="Calibri" w:hAnsi="Calibri"/>
          <w:color w:val="1B2433"/>
          <w:sz w:val="19"/>
          <w:szCs w:val="19"/>
        </w:rPr>
        <w:t xml:space="preserve">Le contenu, la durée, les livrables et le prix de chaque mission sont précisés dans la proposition commerciale ou le devis accepté par le Client.</w:t>
      </w:r>
    </w:p>
    <w:p>
      <w:pPr>
        <w:keepNext/>
        <w:spacing w:after="60" w:before="160"/>
      </w:pPr>
      <w:r>
        <w:rPr>
          <w:rFonts w:ascii="Cambria" w:cs="Cambria" w:eastAsia="Cambria" w:hAnsi="Cambria"/>
          <w:b/>
          <w:bCs/>
          <w:color w:val="C9A84C"/>
          <w:sz w:val="21"/>
          <w:szCs w:val="21"/>
        </w:rPr>
        <w:t xml:space="preserve">Article 4 — </w:t>
      </w:r>
      <w:r>
        <w:rPr>
          <w:rFonts w:ascii="Cambria" w:cs="Cambria" w:eastAsia="Cambria" w:hAnsi="Cambria"/>
          <w:b/>
          <w:bCs/>
          <w:color w:val="0D2B6E"/>
          <w:sz w:val="21"/>
          <w:szCs w:val="21"/>
        </w:rPr>
        <w:t xml:space="preserve">Commande et formation du contrat</w:t>
      </w:r>
    </w:p>
    <w:p>
      <w:pPr>
        <w:spacing w:after="80" w:before="0"/>
        <w:jc w:val="both"/>
      </w:pPr>
      <w:r>
        <w:rPr>
          <w:rFonts w:ascii="Calibri" w:cs="Calibri" w:eastAsia="Calibri" w:hAnsi="Calibri"/>
          <w:color w:val="1B2433"/>
          <w:sz w:val="19"/>
          <w:szCs w:val="19"/>
        </w:rPr>
        <w:t xml:space="preserve">Les devis et propositions commerciales de STFC sont valables trente (30) jours à compter de leur date d’émission. Le contrat est formé à la réception par STFC du devis ou du bon de commande daté, signé et revêtu du cachet du Client, accompagné, le cas échéant, de l’acompte prévu. Les documents contractuels sont, par ordre de priorité : le contrat de prestation, la proposition commerciale ou le devis accepté, le bon de commande, puis les présentes CGV.</w:t>
      </w:r>
    </w:p>
    <w:p>
      <w:pPr>
        <w:keepNext/>
        <w:spacing w:after="60" w:before="160"/>
      </w:pPr>
      <w:r>
        <w:rPr>
          <w:rFonts w:ascii="Cambria" w:cs="Cambria" w:eastAsia="Cambria" w:hAnsi="Cambria"/>
          <w:b/>
          <w:bCs/>
          <w:color w:val="C9A84C"/>
          <w:sz w:val="21"/>
          <w:szCs w:val="21"/>
        </w:rPr>
        <w:t xml:space="preserve">Article 5 — </w:t>
      </w:r>
      <w:r>
        <w:rPr>
          <w:rFonts w:ascii="Cambria" w:cs="Cambria" w:eastAsia="Cambria" w:hAnsi="Cambria"/>
          <w:b/>
          <w:bCs/>
          <w:color w:val="0D2B6E"/>
          <w:sz w:val="21"/>
          <w:szCs w:val="21"/>
        </w:rPr>
        <w:t xml:space="preserve">Prix</w:t>
      </w:r>
    </w:p>
    <w:p>
      <w:pPr>
        <w:spacing w:after="80" w:before="0"/>
        <w:jc w:val="both"/>
      </w:pPr>
      <w:r>
        <w:rPr>
          <w:rFonts w:ascii="Calibri" w:cs="Calibri" w:eastAsia="Calibri" w:hAnsi="Calibri"/>
          <w:color w:val="1B2433"/>
          <w:sz w:val="19"/>
          <w:szCs w:val="19"/>
        </w:rPr>
        <w:t xml:space="preserve">Les prix sont exprimés en francs CFA (FCFA), hors taxes. Ils sont majorés de la TVA au taux en vigueur (18 %) et du centime additionnel (5 % du montant de la TVA), ainsi que de toute autre taxe applicable au jour de la facturation. Les frais de déplacement, d’hébergement et de séjour hors de Pointe-Noire, les licences logicielles, abonnements, noms de domaine et frais d’hébergement des outils digitaux sont facturés en sus, sur justificatifs ou selon le devis.</w:t>
      </w:r>
    </w:p>
    <w:p>
      <w:pPr>
        <w:keepNext/>
        <w:spacing w:after="60" w:before="160"/>
      </w:pPr>
      <w:r>
        <w:rPr>
          <w:rFonts w:ascii="Cambria" w:cs="Cambria" w:eastAsia="Cambria" w:hAnsi="Cambria"/>
          <w:b/>
          <w:bCs/>
          <w:color w:val="C9A84C"/>
          <w:sz w:val="21"/>
          <w:szCs w:val="21"/>
        </w:rPr>
        <w:t xml:space="preserve">Article 6 — </w:t>
      </w:r>
      <w:r>
        <w:rPr>
          <w:rFonts w:ascii="Cambria" w:cs="Cambria" w:eastAsia="Cambria" w:hAnsi="Cambria"/>
          <w:b/>
          <w:bCs/>
          <w:color w:val="0D2B6E"/>
          <w:sz w:val="21"/>
          <w:szCs w:val="21"/>
        </w:rPr>
        <w:t xml:space="preserve">Modalités de paiement</w:t>
      </w:r>
    </w:p>
    <w:p>
      <w:pPr>
        <w:spacing w:after="80" w:before="0"/>
        <w:jc w:val="both"/>
      </w:pPr>
      <w:r>
        <w:rPr>
          <w:rFonts w:ascii="Calibri" w:cs="Calibri" w:eastAsia="Calibri" w:hAnsi="Calibri"/>
          <w:color w:val="1B2433"/>
          <w:sz w:val="19"/>
          <w:szCs w:val="19"/>
        </w:rPr>
        <w:t xml:space="preserve">Sauf stipulation contraire du devis :</w:t>
      </w:r>
    </w:p>
    <w:p>
      <w:pPr>
        <w:pStyle w:val="ListParagraph"/>
        <w:numPr>
          <w:ilvl w:val="0"/>
          <w:numId w:val="2"/>
        </w:numPr>
        <w:spacing w:after="40" w:before="0"/>
      </w:pPr>
      <w:r>
        <w:rPr>
          <w:rFonts w:ascii="Calibri" w:cs="Calibri" w:eastAsia="Calibri" w:hAnsi="Calibri"/>
          <w:color w:val="1B2433"/>
          <w:sz w:val="19"/>
          <w:szCs w:val="19"/>
        </w:rPr>
        <w:t xml:space="preserve">STFC Audit et STFC Transformation Digitale : acompte de [50] % à la commande, solde à la remise des livrables ;</w:t>
      </w:r>
    </w:p>
    <w:p>
      <w:pPr>
        <w:pStyle w:val="ListParagraph"/>
        <w:numPr>
          <w:ilvl w:val="0"/>
          <w:numId w:val="2"/>
        </w:numPr>
        <w:spacing w:after="40" w:before="0"/>
      </w:pPr>
      <w:r>
        <w:rPr>
          <w:rFonts w:ascii="Calibri" w:cs="Calibri" w:eastAsia="Calibri" w:hAnsi="Calibri"/>
          <w:color w:val="1B2433"/>
          <w:sz w:val="19"/>
          <w:szCs w:val="19"/>
        </w:rPr>
        <w:t xml:space="preserve">STFC Croissance : facturation mensuelle, payable à réception ;</w:t>
      </w:r>
    </w:p>
    <w:p>
      <w:pPr>
        <w:pStyle w:val="ListParagraph"/>
        <w:numPr>
          <w:ilvl w:val="0"/>
          <w:numId w:val="2"/>
        </w:numPr>
        <w:spacing w:after="40" w:before="0"/>
      </w:pPr>
      <w:r>
        <w:rPr>
          <w:rFonts w:ascii="Calibri" w:cs="Calibri" w:eastAsia="Calibri" w:hAnsi="Calibri"/>
          <w:color w:val="1B2433"/>
          <w:sz w:val="19"/>
          <w:szCs w:val="19"/>
        </w:rPr>
        <w:t xml:space="preserve">STFC Academy : [100] % avant le démarrage de la session de formation.</w:t>
      </w:r>
    </w:p>
    <w:p>
      <w:pPr>
        <w:spacing w:after="80" w:before="0"/>
        <w:jc w:val="both"/>
      </w:pPr>
      <w:r>
        <w:rPr>
          <w:rFonts w:ascii="Calibri" w:cs="Calibri" w:eastAsia="Calibri" w:hAnsi="Calibri"/>
          <w:color w:val="1B2433"/>
          <w:sz w:val="19"/>
          <w:szCs w:val="19"/>
        </w:rPr>
        <w:t xml:space="preserve">Les factures sont payables dans un délai de [15] jours à compter de leur date d’émission, par virement bancaire, chèque à l’ordre de STRAT FOCUS CONSULTING ou paiement mobile (Mobile Money). Aucun escompte n’est accordé pour paiement anticipé.</w:t>
      </w:r>
    </w:p>
    <w:p>
      <w:pPr>
        <w:keepNext/>
        <w:spacing w:after="60" w:before="160"/>
      </w:pPr>
      <w:r>
        <w:rPr>
          <w:rFonts w:ascii="Cambria" w:cs="Cambria" w:eastAsia="Cambria" w:hAnsi="Cambria"/>
          <w:b/>
          <w:bCs/>
          <w:color w:val="C9A84C"/>
          <w:sz w:val="21"/>
          <w:szCs w:val="21"/>
        </w:rPr>
        <w:t xml:space="preserve">Article 7 — </w:t>
      </w:r>
      <w:r>
        <w:rPr>
          <w:rFonts w:ascii="Cambria" w:cs="Cambria" w:eastAsia="Cambria" w:hAnsi="Cambria"/>
          <w:b/>
          <w:bCs/>
          <w:color w:val="0D2B6E"/>
          <w:sz w:val="21"/>
          <w:szCs w:val="21"/>
        </w:rPr>
        <w:t xml:space="preserve">Retard de paiement</w:t>
      </w:r>
    </w:p>
    <w:p>
      <w:pPr>
        <w:spacing w:after="80" w:before="0"/>
        <w:jc w:val="both"/>
      </w:pPr>
      <w:r>
        <w:rPr>
          <w:rFonts w:ascii="Calibri" w:cs="Calibri" w:eastAsia="Calibri" w:hAnsi="Calibri"/>
          <w:color w:val="1B2433"/>
          <w:sz w:val="19"/>
          <w:szCs w:val="19"/>
        </w:rPr>
        <w:t xml:space="preserve">Tout retard de paiement entraîne de plein droit, après mise en demeure restée sans effet pendant huit (8) jours, l’application de pénalités de retard au taux de [……] % par mois de retard, ainsi que la faculté pour STFC de suspendre l’exécution de la mission et l’accès aux outils digitaux livrés jusqu’au complet paiement. Les frais de recouvrement engagés sont à la charge du Client.</w:t>
      </w:r>
    </w:p>
    <w:p>
      <w:pPr>
        <w:keepNext/>
        <w:spacing w:after="60" w:before="160"/>
      </w:pPr>
      <w:r>
        <w:rPr>
          <w:rFonts w:ascii="Cambria" w:cs="Cambria" w:eastAsia="Cambria" w:hAnsi="Cambria"/>
          <w:b/>
          <w:bCs/>
          <w:color w:val="C9A84C"/>
          <w:sz w:val="21"/>
          <w:szCs w:val="21"/>
        </w:rPr>
        <w:t xml:space="preserve">Article 8 — </w:t>
      </w:r>
      <w:r>
        <w:rPr>
          <w:rFonts w:ascii="Cambria" w:cs="Cambria" w:eastAsia="Cambria" w:hAnsi="Cambria"/>
          <w:b/>
          <w:bCs/>
          <w:color w:val="0D2B6E"/>
          <w:sz w:val="21"/>
          <w:szCs w:val="21"/>
        </w:rPr>
        <w:t xml:space="preserve">Obligations de STFC</w:t>
      </w:r>
    </w:p>
    <w:p>
      <w:pPr>
        <w:spacing w:after="80" w:before="0"/>
        <w:jc w:val="both"/>
      </w:pPr>
      <w:r>
        <w:rPr>
          <w:rFonts w:ascii="Calibri" w:cs="Calibri" w:eastAsia="Calibri" w:hAnsi="Calibri"/>
          <w:color w:val="1B2433"/>
          <w:sz w:val="19"/>
          <w:szCs w:val="19"/>
        </w:rPr>
        <w:t xml:space="preserve">STFC s’engage à exécuter ses prestations avec diligence et selon les règles de l’art de la profession de conseil. Ses obligations sont des obligations de moyens. Les résultats commerciaux du Client dépendant également de facteurs extérieurs (marché, décisions de la direction, mise en œuvre des recommandations), STFC ne garantit pas l’atteinte d’un niveau de chiffre d’affaires déterminé.</w:t>
      </w:r>
    </w:p>
    <w:p>
      <w:pPr>
        <w:keepNext/>
        <w:spacing w:after="60" w:before="160"/>
      </w:pPr>
      <w:r>
        <w:rPr>
          <w:rFonts w:ascii="Cambria" w:cs="Cambria" w:eastAsia="Cambria" w:hAnsi="Cambria"/>
          <w:b/>
          <w:bCs/>
          <w:color w:val="C9A84C"/>
          <w:sz w:val="21"/>
          <w:szCs w:val="21"/>
        </w:rPr>
        <w:t xml:space="preserve">Article 9 — </w:t>
      </w:r>
      <w:r>
        <w:rPr>
          <w:rFonts w:ascii="Cambria" w:cs="Cambria" w:eastAsia="Cambria" w:hAnsi="Cambria"/>
          <w:b/>
          <w:bCs/>
          <w:color w:val="0D2B6E"/>
          <w:sz w:val="21"/>
          <w:szCs w:val="21"/>
        </w:rPr>
        <w:t xml:space="preserve">Obligations du Client</w:t>
      </w:r>
    </w:p>
    <w:p>
      <w:pPr>
        <w:spacing w:after="80" w:before="0"/>
        <w:jc w:val="both"/>
      </w:pPr>
      <w:r>
        <w:rPr>
          <w:rFonts w:ascii="Calibri" w:cs="Calibri" w:eastAsia="Calibri" w:hAnsi="Calibri"/>
          <w:color w:val="1B2433"/>
          <w:sz w:val="19"/>
          <w:szCs w:val="19"/>
        </w:rPr>
        <w:t xml:space="preserve">Le Client s’engage à : désigner un interlocuteur disposant du pouvoir de décision ; fournir dans les délais les informations, données et documents nécessaires, sincères et complets ; assurer l’accès à ses locaux, équipes et outils ; valider les livrables dans un délai de [10] jours ouvrés, faute de quoi ils sont réputés acceptés.</w:t>
      </w:r>
    </w:p>
    <w:p>
      <w:pPr>
        <w:keepNext/>
        <w:spacing w:after="60" w:before="160"/>
      </w:pPr>
      <w:r>
        <w:rPr>
          <w:rFonts w:ascii="Cambria" w:cs="Cambria" w:eastAsia="Cambria" w:hAnsi="Cambria"/>
          <w:b/>
          <w:bCs/>
          <w:color w:val="C9A84C"/>
          <w:sz w:val="21"/>
          <w:szCs w:val="21"/>
        </w:rPr>
        <w:t xml:space="preserve">Article 10 — </w:t>
      </w:r>
      <w:r>
        <w:rPr>
          <w:rFonts w:ascii="Cambria" w:cs="Cambria" w:eastAsia="Cambria" w:hAnsi="Cambria"/>
          <w:b/>
          <w:bCs/>
          <w:color w:val="0D2B6E"/>
          <w:sz w:val="21"/>
          <w:szCs w:val="21"/>
        </w:rPr>
        <w:t xml:space="preserve">Confidentialité</w:t>
      </w:r>
    </w:p>
    <w:p>
      <w:pPr>
        <w:spacing w:after="80" w:before="0"/>
        <w:jc w:val="both"/>
      </w:pPr>
      <w:r>
        <w:rPr>
          <w:rFonts w:ascii="Calibri" w:cs="Calibri" w:eastAsia="Calibri" w:hAnsi="Calibri"/>
          <w:color w:val="1B2433"/>
          <w:sz w:val="19"/>
          <w:szCs w:val="19"/>
        </w:rPr>
        <w:t xml:space="preserve">Chacune des parties s’engage à garder strictement confidentielles les informations de toute nature communiquées par l’autre partie à l’occasion de la mission, pendant toute sa durée et deux (2) ans après son terme. STFC peut, sauf refus écrit du Client, citer le nom du Client comme référence commerciale, sans divulguer aucune information confidentielle.</w:t>
      </w:r>
    </w:p>
    <w:p>
      <w:pPr>
        <w:keepNext/>
        <w:spacing w:after="60" w:before="160"/>
      </w:pPr>
      <w:r>
        <w:rPr>
          <w:rFonts w:ascii="Cambria" w:cs="Cambria" w:eastAsia="Cambria" w:hAnsi="Cambria"/>
          <w:b/>
          <w:bCs/>
          <w:color w:val="C9A84C"/>
          <w:sz w:val="21"/>
          <w:szCs w:val="21"/>
        </w:rPr>
        <w:t xml:space="preserve">Article 11 — </w:t>
      </w:r>
      <w:r>
        <w:rPr>
          <w:rFonts w:ascii="Cambria" w:cs="Cambria" w:eastAsia="Cambria" w:hAnsi="Cambria"/>
          <w:b/>
          <w:bCs/>
          <w:color w:val="0D2B6E"/>
          <w:sz w:val="21"/>
          <w:szCs w:val="21"/>
        </w:rPr>
        <w:t xml:space="preserve">Propriété intellectuelle</w:t>
      </w:r>
    </w:p>
    <w:p>
      <w:pPr>
        <w:spacing w:after="80" w:before="0"/>
        <w:jc w:val="both"/>
      </w:pPr>
      <w:r>
        <w:rPr>
          <w:rFonts w:ascii="Calibri" w:cs="Calibri" w:eastAsia="Calibri" w:hAnsi="Calibri"/>
          <w:color w:val="1B2433"/>
          <w:sz w:val="19"/>
          <w:szCs w:val="19"/>
        </w:rPr>
        <w:t xml:space="preserve">Les méthodes, outils, grilles d’analyse, supports de formation et savoir-faire de STFC restent sa propriété exclusive. Le Client acquiert, après paiement intégral, le droit d’utiliser les livrables pour ses besoins internes. Pour les outils développés dans le cadre de STFC Transformation Digitale (site, boutique en ligne, portail, paramétrages CRM), les accès administrateur, contenus et éléments spécifiquement créés pour le Client lui sont remis après paiement intégral ; les logiciels et services de tiers restent soumis aux licences de leurs éditeurs.</w:t>
      </w:r>
    </w:p>
    <w:p>
      <w:pPr>
        <w:keepNext/>
        <w:spacing w:after="60" w:before="160"/>
      </w:pPr>
      <w:r>
        <w:rPr>
          <w:rFonts w:ascii="Cambria" w:cs="Cambria" w:eastAsia="Cambria" w:hAnsi="Cambria"/>
          <w:b/>
          <w:bCs/>
          <w:color w:val="C9A84C"/>
          <w:sz w:val="21"/>
          <w:szCs w:val="21"/>
        </w:rPr>
        <w:t xml:space="preserve">Article 12 — </w:t>
      </w:r>
      <w:r>
        <w:rPr>
          <w:rFonts w:ascii="Cambria" w:cs="Cambria" w:eastAsia="Cambria" w:hAnsi="Cambria"/>
          <w:b/>
          <w:bCs/>
          <w:color w:val="0D2B6E"/>
          <w:sz w:val="21"/>
          <w:szCs w:val="21"/>
        </w:rPr>
        <w:t xml:space="preserve">Données personnelles</w:t>
      </w:r>
    </w:p>
    <w:p>
      <w:pPr>
        <w:spacing w:after="80" w:before="0"/>
        <w:jc w:val="both"/>
      </w:pPr>
      <w:r>
        <w:rPr>
          <w:rFonts w:ascii="Calibri" w:cs="Calibri" w:eastAsia="Calibri" w:hAnsi="Calibri"/>
          <w:color w:val="1B2433"/>
          <w:sz w:val="19"/>
          <w:szCs w:val="19"/>
        </w:rPr>
        <w:t xml:space="preserve">Les parties s’engagent à respecter la réglementation applicable en République du Congo en matière de protection des données à caractère personnel. STFC ne traite les données des clients et prospects du Client que pour les besoins de la mission et selon ses instructions.</w:t>
      </w:r>
    </w:p>
    <w:p>
      <w:pPr>
        <w:keepNext/>
        <w:spacing w:after="60" w:before="160"/>
      </w:pPr>
      <w:r>
        <w:rPr>
          <w:rFonts w:ascii="Cambria" w:cs="Cambria" w:eastAsia="Cambria" w:hAnsi="Cambria"/>
          <w:b/>
          <w:bCs/>
          <w:color w:val="C9A84C"/>
          <w:sz w:val="21"/>
          <w:szCs w:val="21"/>
        </w:rPr>
        <w:t xml:space="preserve">Article 13 — </w:t>
      </w:r>
      <w:r>
        <w:rPr>
          <w:rFonts w:ascii="Cambria" w:cs="Cambria" w:eastAsia="Cambria" w:hAnsi="Cambria"/>
          <w:b/>
          <w:bCs/>
          <w:color w:val="0D2B6E"/>
          <w:sz w:val="21"/>
          <w:szCs w:val="21"/>
        </w:rPr>
        <w:t xml:space="preserve">Responsabilité</w:t>
      </w:r>
    </w:p>
    <w:p>
      <w:pPr>
        <w:spacing w:after="80" w:before="0"/>
        <w:jc w:val="both"/>
      </w:pPr>
      <w:r>
        <w:rPr>
          <w:rFonts w:ascii="Calibri" w:cs="Calibri" w:eastAsia="Calibri" w:hAnsi="Calibri"/>
          <w:color w:val="1B2433"/>
          <w:sz w:val="19"/>
          <w:szCs w:val="19"/>
        </w:rPr>
        <w:t xml:space="preserve">La responsabilité de STFC, toutes causes confondues, est limitée aux dommages directs et prouvés, dans la limite du montant hors taxes effectivement perçu au titre de la mission concernée. STFC ne saurait être tenue responsable des pertes d’exploitation, de chiffre d’affaires ou de clientèle, ni des conséquences des décisions prises par le Client.</w:t>
      </w:r>
    </w:p>
    <w:p>
      <w:pPr>
        <w:keepNext/>
        <w:spacing w:after="60" w:before="160"/>
      </w:pPr>
      <w:r>
        <w:rPr>
          <w:rFonts w:ascii="Cambria" w:cs="Cambria" w:eastAsia="Cambria" w:hAnsi="Cambria"/>
          <w:b/>
          <w:bCs/>
          <w:color w:val="C9A84C"/>
          <w:sz w:val="21"/>
          <w:szCs w:val="21"/>
        </w:rPr>
        <w:t xml:space="preserve">Article 14 — </w:t>
      </w:r>
      <w:r>
        <w:rPr>
          <w:rFonts w:ascii="Cambria" w:cs="Cambria" w:eastAsia="Cambria" w:hAnsi="Cambria"/>
          <w:b/>
          <w:bCs/>
          <w:color w:val="0D2B6E"/>
          <w:sz w:val="21"/>
          <w:szCs w:val="21"/>
        </w:rPr>
        <w:t xml:space="preserve">Report et annulation</w:t>
      </w:r>
    </w:p>
    <w:p>
      <w:pPr>
        <w:pStyle w:val="ListParagraph"/>
        <w:numPr>
          <w:ilvl w:val="0"/>
          <w:numId w:val="2"/>
        </w:numPr>
        <w:spacing w:after="40" w:before="0"/>
      </w:pPr>
      <w:r>
        <w:rPr>
          <w:rFonts w:ascii="Calibri" w:cs="Calibri" w:eastAsia="Calibri" w:hAnsi="Calibri"/>
          <w:color w:val="1B2433"/>
          <w:sz w:val="19"/>
          <w:szCs w:val="19"/>
        </w:rPr>
        <w:t xml:space="preserve">Mission de conseil : toute annulation après signature donne lieu à la facturation des travaux déjà réalisés et, au minimum, à la conservation de l’acompte versé.</w:t>
      </w:r>
    </w:p>
    <w:p>
      <w:pPr>
        <w:pStyle w:val="ListParagraph"/>
        <w:numPr>
          <w:ilvl w:val="0"/>
          <w:numId w:val="2"/>
        </w:numPr>
        <w:spacing w:after="40" w:before="0"/>
      </w:pPr>
      <w:r>
        <w:rPr>
          <w:rFonts w:ascii="Calibri" w:cs="Calibri" w:eastAsia="Calibri" w:hAnsi="Calibri"/>
          <w:color w:val="1B2433"/>
          <w:sz w:val="19"/>
          <w:szCs w:val="19"/>
        </w:rPr>
        <w:t xml:space="preserve">Session de formation STFC Academy : report ou annulation gratuits plus de quinze (15) jours avant la date prévue ; [50] % du prix dus entre quinze (15) et cinq (5) jours ; [100] % dus à moins de cinq (5) jours. Le remplacement d’un participant est possible sans frais.</w:t>
      </w:r>
    </w:p>
    <w:p>
      <w:pPr>
        <w:pStyle w:val="ListParagraph"/>
        <w:numPr>
          <w:ilvl w:val="0"/>
          <w:numId w:val="2"/>
        </w:numPr>
        <w:spacing w:after="40" w:before="0"/>
      </w:pPr>
      <w:r>
        <w:rPr>
          <w:rFonts w:ascii="Calibri" w:cs="Calibri" w:eastAsia="Calibri" w:hAnsi="Calibri"/>
          <w:color w:val="1B2433"/>
          <w:sz w:val="19"/>
          <w:szCs w:val="19"/>
        </w:rPr>
        <w:t xml:space="preserve">STFC se réserve le droit de reporter une session en cas d’effectif insuffisant ou d’indisponibilité de l’intervenant, sans indemnité autre que le remboursement des sommes versées pour la session.</w:t>
      </w:r>
    </w:p>
    <w:p>
      <w:pPr>
        <w:keepNext/>
        <w:spacing w:after="60" w:before="160"/>
      </w:pPr>
      <w:r>
        <w:rPr>
          <w:rFonts w:ascii="Cambria" w:cs="Cambria" w:eastAsia="Cambria" w:hAnsi="Cambria"/>
          <w:b/>
          <w:bCs/>
          <w:color w:val="C9A84C"/>
          <w:sz w:val="21"/>
          <w:szCs w:val="21"/>
        </w:rPr>
        <w:t xml:space="preserve">Article 15 — </w:t>
      </w:r>
      <w:r>
        <w:rPr>
          <w:rFonts w:ascii="Cambria" w:cs="Cambria" w:eastAsia="Cambria" w:hAnsi="Cambria"/>
          <w:b/>
          <w:bCs/>
          <w:color w:val="0D2B6E"/>
          <w:sz w:val="21"/>
          <w:szCs w:val="21"/>
        </w:rPr>
        <w:t xml:space="preserve">Résiliation</w:t>
      </w:r>
    </w:p>
    <w:p>
      <w:pPr>
        <w:spacing w:after="80" w:before="0"/>
        <w:jc w:val="both"/>
      </w:pPr>
      <w:r>
        <w:rPr>
          <w:rFonts w:ascii="Calibri" w:cs="Calibri" w:eastAsia="Calibri" w:hAnsi="Calibri"/>
          <w:color w:val="1B2433"/>
          <w:sz w:val="19"/>
          <w:szCs w:val="19"/>
        </w:rPr>
        <w:t xml:space="preserve">En cas de manquement grave de l’une des parties à ses obligations, non réparé dans un délai de quinze (15) jours suivant une mise en demeure par écrit, l’autre partie pourra résilier le contrat de plein droit. Les prestations réalisées jusqu’à la date de résiliation restent dues.</w:t>
      </w:r>
    </w:p>
    <w:p>
      <w:pPr>
        <w:keepNext/>
        <w:spacing w:after="60" w:before="160"/>
      </w:pPr>
      <w:r>
        <w:rPr>
          <w:rFonts w:ascii="Cambria" w:cs="Cambria" w:eastAsia="Cambria" w:hAnsi="Cambria"/>
          <w:b/>
          <w:bCs/>
          <w:color w:val="C9A84C"/>
          <w:sz w:val="21"/>
          <w:szCs w:val="21"/>
        </w:rPr>
        <w:t xml:space="preserve">Article 16 — </w:t>
      </w:r>
      <w:r>
        <w:rPr>
          <w:rFonts w:ascii="Cambria" w:cs="Cambria" w:eastAsia="Cambria" w:hAnsi="Cambria"/>
          <w:b/>
          <w:bCs/>
          <w:color w:val="0D2B6E"/>
          <w:sz w:val="21"/>
          <w:szCs w:val="21"/>
        </w:rPr>
        <w:t xml:space="preserve">Force majeure</w:t>
      </w:r>
    </w:p>
    <w:p>
      <w:pPr>
        <w:spacing w:after="80" w:before="0"/>
        <w:jc w:val="both"/>
      </w:pPr>
      <w:r>
        <w:rPr>
          <w:rFonts w:ascii="Calibri" w:cs="Calibri" w:eastAsia="Calibri" w:hAnsi="Calibri"/>
          <w:color w:val="1B2433"/>
          <w:sz w:val="19"/>
          <w:szCs w:val="19"/>
        </w:rPr>
        <w:t xml:space="preserve">Aucune des parties ne pourra être tenue responsable de l’inexécution de ses obligations résultant d’un cas de force majeure tel que défini par le droit applicable. L’exécution est suspendue pendant la durée de l’événement ; au-delà de trente (30) jours, chaque partie peut résilier le contrat sans indemnité.</w:t>
      </w:r>
    </w:p>
    <w:p>
      <w:pPr>
        <w:keepNext/>
        <w:spacing w:after="60" w:before="160"/>
      </w:pPr>
      <w:r>
        <w:rPr>
          <w:rFonts w:ascii="Cambria" w:cs="Cambria" w:eastAsia="Cambria" w:hAnsi="Cambria"/>
          <w:b/>
          <w:bCs/>
          <w:color w:val="C9A84C"/>
          <w:sz w:val="21"/>
          <w:szCs w:val="21"/>
        </w:rPr>
        <w:t xml:space="preserve">Article 17 — </w:t>
      </w:r>
      <w:r>
        <w:rPr>
          <w:rFonts w:ascii="Cambria" w:cs="Cambria" w:eastAsia="Cambria" w:hAnsi="Cambria"/>
          <w:b/>
          <w:bCs/>
          <w:color w:val="0D2B6E"/>
          <w:sz w:val="21"/>
          <w:szCs w:val="21"/>
        </w:rPr>
        <w:t xml:space="preserve">Droit applicable et litiges</w:t>
      </w:r>
    </w:p>
    <w:p>
      <w:pPr>
        <w:spacing w:after="80" w:before="0"/>
        <w:jc w:val="both"/>
      </w:pPr>
      <w:r>
        <w:rPr>
          <w:rFonts w:ascii="Calibri" w:cs="Calibri" w:eastAsia="Calibri" w:hAnsi="Calibri"/>
          <w:color w:val="1B2433"/>
          <w:sz w:val="19"/>
          <w:szCs w:val="19"/>
        </w:rPr>
        <w:t xml:space="preserve">Les présentes CGV sont soumises au droit de la République du Congo et aux Actes uniformes de l’OHADA. Les parties s’efforceront de régler à l’amiable tout différend. À défaut d’accord dans un délai de trente (30) jours, le litige sera porté devant les juridictions compétentes de Pointe-Noire.</w:t>
      </w:r>
    </w:p>
    <w:p>
      <w:pPr>
        <w:spacing w:after="120" w:before="0"/>
      </w:pPr>
      <w:r>
        <w:rPr>
          <w:rFonts w:ascii="Calibri" w:cs="Calibri" w:eastAsia="Calibri" w:hAnsi="Calibri"/>
          <w:color w:val="1B2433"/>
          <w:sz w:val="20"/>
          <w:szCs w:val="20"/>
        </w:rPr>
        <w:t xml:space="preserve"/>
      </w:r>
    </w:p>
    <w:tbl>
      <w:tblPr>
        <w:tblW w:type="dxa" w:w="10206"/>
        <w:tblBorders>
          <w:top w:val="single" w:color="C5CDDC" w:sz="4"/>
          <w:left w:val="single" w:color="C5CDDC" w:sz="4"/>
          <w:bottom w:val="single" w:color="C5CDDC" w:sz="4"/>
          <w:right w:val="single" w:color="C5CDDC" w:sz="4"/>
          <w:insideH w:val="single" w:color="C5CDDC" w:sz="4"/>
          <w:insideV w:val="single" w:color="C5CDDC" w:sz="4"/>
        </w:tblBorders>
      </w:tblPr>
      <w:tblGrid>
        <w:gridCol w:w="5103"/>
        <w:gridCol w:w="5103"/>
      </w:tblGrid>
      <w:tr>
        <w:trPr>
          <w:cantSplit/>
          <w:trHeight w:val="1300" w:hRule="atLeast"/>
        </w:trPr>
        <w:tc>
          <w:tcPr>
            <w:tcW w:type="dxa" w:w="5103"/>
            <w:shd w:fill="EAEEF6" w:color="auto" w:val="clear"/>
            <w:tcMar>
              <w:top w:type="dxa" w:w="60"/>
              <w:left w:type="dxa" w:w="110"/>
              <w:bottom w:type="dxa" w:w="60"/>
              <w:right w:type="dxa" w:w="110"/>
            </w:tcMar>
            <w:vAlign w:val="top"/>
          </w:tcPr>
          <w:p>
            <w:pPr>
              <w:spacing w:after="0" w:before="0"/>
            </w:pPr>
            <w:r>
              <w:rPr>
                <w:rFonts w:ascii="Calibri" w:cs="Calibri" w:eastAsia="Calibri" w:hAnsi="Calibri"/>
                <w:b/>
                <w:bCs/>
                <w:color w:val="0D2B6E"/>
                <w:sz w:val="18"/>
                <w:szCs w:val="18"/>
              </w:rPr>
              <w:t xml:space="preserve">Lu et approuvé — Le Client</w:t>
            </w:r>
          </w:p>
          <w:p>
            <w:pPr>
              <w:spacing w:after="0" w:before="0"/>
            </w:pPr>
            <w:r>
              <w:rPr>
                <w:rFonts w:ascii="Calibri" w:cs="Calibri" w:eastAsia="Calibri" w:hAnsi="Calibri"/>
                <w:i/>
                <w:iCs/>
                <w:color w:val="7D8698"/>
                <w:sz w:val="15"/>
                <w:szCs w:val="15"/>
              </w:rPr>
              <w:t xml:space="preserve">Nom, date, signature et cachet</w:t>
            </w:r>
          </w:p>
        </w:tc>
        <w:tc>
          <w:tcPr>
            <w:tcW w:type="dxa" w:w="5103"/>
            <w:shd w:fill="EAEEF6" w:color="auto" w:val="clear"/>
            <w:tcMar>
              <w:top w:type="dxa" w:w="60"/>
              <w:left w:type="dxa" w:w="110"/>
              <w:bottom w:type="dxa" w:w="60"/>
              <w:right w:type="dxa" w:w="110"/>
            </w:tcMar>
            <w:vAlign w:val="top"/>
          </w:tcPr>
          <w:p>
            <w:pPr>
              <w:spacing w:after="0" w:before="0"/>
            </w:pPr>
            <w:r>
              <w:rPr>
                <w:rFonts w:ascii="Calibri" w:cs="Calibri" w:eastAsia="Calibri" w:hAnsi="Calibri"/>
                <w:b/>
                <w:bCs/>
                <w:color w:val="0D2B6E"/>
                <w:sz w:val="18"/>
                <w:szCs w:val="18"/>
              </w:rPr>
              <w:t xml:space="preserve">Pour STRAT FOCUS CONSULTING</w:t>
            </w:r>
          </w:p>
          <w:p>
            <w:pPr>
              <w:spacing w:after="0" w:before="0"/>
            </w:pPr>
            <w:r>
              <w:rPr>
                <w:rFonts w:ascii="Calibri" w:cs="Calibri" w:eastAsia="Calibri" w:hAnsi="Calibri"/>
                <w:i/>
                <w:iCs/>
                <w:color w:val="7D8698"/>
                <w:sz w:val="15"/>
                <w:szCs w:val="15"/>
              </w:rPr>
              <w:t xml:space="preserve">Nom, date, signature et cachet</w:t>
            </w:r>
          </w:p>
        </w:tc>
      </w:tr>
    </w:tbl>
    <w:sectPr>
      <w:headerReference w:type="default" r:id="rId7"/>
      <w:headerReference w:type="first" r:id="rId8"/>
      <w:footerReference w:type="default" r:id="rId9"/>
      <w:footerReference w:type="first" r:id="rId10"/>
      <w:pgSz w:w="11906" w:h="16838" w:orient="portrait"/>
      <w:pgMar w:top="720" w:right="850" w:bottom="1000" w:left="850" w:header="360" w:footer="3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4" w:space="4"/>
      </w:pBdr>
      <w:spacing w:after="0" w:before="0"/>
      <w:jc w:val="center"/>
    </w:pPr>
    <w:r>
      <w:rPr>
        <w:rFonts w:ascii="Calibri" w:cs="Calibri" w:eastAsia="Calibri" w:hAnsi="Calibri"/>
        <w:color w:val="7D8698"/>
        <w:sz w:val="14"/>
        <w:szCs w:val="14"/>
      </w:rPr>
      <w:t xml:space="preserve">STRAT FOCUS CONSULTING — STFC Expertise — République du Congo — RCCM CG-PNR-01-2025-A11-00010 — NIU : [à compléter]</w:t>
    </w:r>
  </w:p>
  <w:p>
    <w:pPr>
      <w:spacing w:after="0" w:before="0"/>
      <w:jc w:val="center"/>
    </w:pPr>
    <w:r>
      <w:rPr>
        <w:rFonts w:ascii="Calibri" w:cs="Calibri" w:eastAsia="Calibri" w:hAnsi="Calibri"/>
        <w:color w:val="7D8698"/>
        <w:sz w:val="14"/>
        <w:szCs w:val="14"/>
      </w:rPr>
      <w:t xml:space="preserve">Zone OCI, 200 m du Parc Culture, Q. MPITA — Pointe-Noire — Tél : 066 000 066 · 06 974 00 88 · 05 077 25 25 — stratfocusconsulting@gmail.com</w:t>
    </w:r>
  </w:p>
  <w:p>
    <w:pPr>
      <w:jc w:val="right"/>
    </w:pPr>
    <w:r>
      <w:rPr>
        <w:rFonts w:ascii="Calibri" w:cs="Calibri" w:eastAsia="Calibri" w:hAnsi="Calibri"/>
        <w:color w:val="7D8698"/>
        <w:sz w:val="14"/>
        <w:szCs w:val="14"/>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4" w:space="4"/>
      </w:pBdr>
      <w:spacing w:after="0" w:before="0"/>
      <w:jc w:val="center"/>
    </w:pPr>
    <w:r>
      <w:rPr>
        <w:rFonts w:ascii="Calibri" w:cs="Calibri" w:eastAsia="Calibri" w:hAnsi="Calibri"/>
        <w:color w:val="7D8698"/>
        <w:sz w:val="14"/>
        <w:szCs w:val="14"/>
      </w:rPr>
      <w:t xml:space="preserve">STRAT FOCUS CONSULTING — STFC Expertise — République du Congo — RCCM CG-PNR-01-2025-A11-00010 — NIU : [à compléter]</w:t>
    </w:r>
  </w:p>
  <w:p>
    <w:pPr>
      <w:spacing w:after="0" w:before="0"/>
      <w:jc w:val="center"/>
    </w:pPr>
    <w:r>
      <w:rPr>
        <w:rFonts w:ascii="Calibri" w:cs="Calibri" w:eastAsia="Calibri" w:hAnsi="Calibri"/>
        <w:color w:val="7D8698"/>
        <w:sz w:val="14"/>
        <w:szCs w:val="14"/>
      </w:rPr>
      <w:t xml:space="preserve">Zone OCI, 200 m du Parc Culture, Q. MPITA — Pointe-Noire — Tél : 066 000 066 · 06 974 00 88 · 05 077 25 25 — stratfocusconsulting@gmail.com</w:t>
    </w:r>
  </w:p>
  <w:p>
    <w:pPr>
      <w:jc w:val="right"/>
    </w:pPr>
    <w:r>
      <w:rPr>
        <w:rFonts w:ascii="Calibri" w:cs="Calibri" w:eastAsia="Calibri" w:hAnsi="Calibri"/>
        <w:color w:val="7D8698"/>
        <w:sz w:val="14"/>
        <w:szCs w:val="14"/>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8" w:space="4"/>
      </w:pBdr>
      <w:spacing w:after="0" w:before="0"/>
      <w:jc w:val="right"/>
    </w:pPr>
    <w:r>
      <w:rPr>
        <w:rFonts w:ascii="Cambria" w:cs="Cambria" w:eastAsia="Cambria" w:hAnsi="Cambria"/>
        <w:b/>
        <w:bCs/>
        <w:color w:val="0D2B6E"/>
        <w:sz w:val="16"/>
        <w:szCs w:val="16"/>
      </w:rPr>
      <w:t xml:space="preserve">STFC Expertise</w:t>
    </w:r>
    <w:r>
      <w:rPr>
        <w:rFonts w:ascii="Calibri" w:cs="Calibri" w:eastAsia="Calibri" w:hAnsi="Calibri"/>
        <w:color w:val="7D8698"/>
        <w:sz w:val="16"/>
        <w:szCs w:val="16"/>
      </w:rPr>
      <w:t xml:space="preserve">  ·  CONDITIONS GÉNÉRALES DE VENTE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pPr>
    <w:r>
      <w:rPr>
        <w:rFonts w:ascii="Calibri" w:cs="Calibri" w:eastAsia="Calibri" w:hAnsi="Calibri"/>
        <w:color w:val="1B2433"/>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C9A84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STFC — CONDITIONS GÉNÉRALES DE VENTE</dc:title>
  <dc:creator>Strat Focus Consulting</dc:creator>
  <cp:lastModifiedBy>Un-named</cp:lastModifiedBy>
  <cp:revision>1</cp:revision>
  <dcterms:created xsi:type="dcterms:W3CDTF">2026-10-30T23:48:10.338Z</dcterms:created>
  <dcterms:modified xsi:type="dcterms:W3CDTF">2026-10-30T23:48:10.343Z</dcterms:modified>
</cp:coreProperties>
</file>

<file path=docProps/custom.xml><?xml version="1.0" encoding="utf-8"?>
<Properties xmlns="http://schemas.openxmlformats.org/officeDocument/2006/custom-properties" xmlns:vt="http://schemas.openxmlformats.org/officeDocument/2006/docPropsVTypes"/>
</file>