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0D2B6E" w:sz="4"/>
          <w:left w:val="single" w:color="0D2B6E" w:sz="4"/>
          <w:bottom w:val="single" w:color="C9A84C" w:sz="24"/>
          <w:right w:val="single" w:color="0D2B6E" w:sz="4"/>
          <w:insideH w:val="none" w:color="FFFFFF" w:sz="0"/>
          <w:insideV w:val="single" w:color="2E4A86" w:sz="4"/>
        </w:tblBorders>
      </w:tblPr>
      <w:tblGrid>
        <w:gridCol w:w="5103"/>
        <w:gridCol w:w="5103"/>
      </w:tblGrid>
      <w:tr>
        <w:trPr>
          <w:cantSplit/>
        </w:trPr>
        <w:tc>
          <w:tcPr>
            <w:tcW w:type="dxa" w:w="5103"/>
            <w:shd w:fill="0D2B6E" w:color="auto" w:val="clear"/>
            <w:tcMar>
              <w:top w:type="dxa" w:w="160"/>
              <w:left w:type="dxa" w:w="200"/>
              <w:bottom w:type="dxa" w:w="140"/>
              <w:right w:type="dxa" w:w="200"/>
            </w:tcMar>
            <w:vAlign w:val="top"/>
          </w:tcPr>
          <w:tbl>
            <w:tblPr>
              <w:tblW w:type="dxa" w:w="4700"/>
              <w:tblBorders>
                <w:top w:val="single" w:color="9AA6BC" w:sz="4"/>
                <w:left w:val="single" w:color="9AA6BC" w:sz="4"/>
                <w:bottom w:val="single" w:color="9AA6BC" w:sz="4"/>
                <w:right w:val="single" w:color="9AA6BC" w:sz="4"/>
                <w:insideH w:val="single" w:color="9AA6BC" w:sz="4"/>
                <w:insideV w:val="single" w:color="9AA6BC" w:sz="4"/>
              </w:tblBorders>
            </w:tblPr>
            <w:tblGrid>
              <w:gridCol w:w="4700"/>
            </w:tblGrid>
            <w:tr>
              <w:trPr>
                <w:cantSplit/>
                <w:trHeight w:val="1150" w:hRule="atLeast"/>
              </w:trPr>
              <w:tc>
                <w:tcPr>
                  <w:tcW w:type="dxa" w:w="4700"/>
                  <w:shd w:fill="FFFFFF" w:color="auto" w:val="clear"/>
                  <w:tcMar>
                    <w:top w:type="dxa" w:w="120"/>
                    <w:left w:type="dxa" w:w="160"/>
                    <w:bottom w:type="dxa" w:w="120"/>
                    <w:right w:type="dxa" w:w="160"/>
                  </w:tcMar>
                  <w:vAlign w:val="center"/>
                </w:tcPr>
                <w:p>
                  <w:pPr>
                    <w:spacing w:after="0" w:before="0"/>
                    <w:jc w:val="center"/>
                  </w:pPr>
                  <w:r>
                    <w:rPr>
                      <w:rFonts w:ascii="Cambria" w:cs="Cambria" w:eastAsia="Cambria" w:hAnsi="Cambria"/>
                      <w:b/>
                      <w:bCs/>
                      <w:color w:val="0D2B6E"/>
                      <w:sz w:val="52"/>
                      <w:szCs w:val="52"/>
                    </w:rPr>
                    <w:t xml:space="preserve">STFC</w:t>
                  </w:r>
                  <w:r>
                    <w:rPr>
                      <w:rFonts w:ascii="Cambria" w:cs="Cambria" w:eastAsia="Cambria" w:hAnsi="Cambria"/>
                      <w:b/>
                      <w:bCs/>
                      <w:i/>
                      <w:iCs/>
                      <w:color w:val="C9A84C"/>
                      <w:sz w:val="30"/>
                      <w:szCs w:val="30"/>
                    </w:rPr>
                    <w:t xml:space="preserve">  Expertise</w:t>
                  </w:r>
                </w:p>
                <w:p>
                  <w:pPr>
                    <w:spacing w:after="0" w:before="0"/>
                    <w:jc w:val="center"/>
                  </w:pPr>
                  <w:r>
                    <w:rPr>
                      <w:rFonts w:ascii="Calibri" w:cs="Calibri" w:eastAsia="Calibri" w:hAnsi="Calibri"/>
                      <w:b/>
                      <w:bCs/>
                      <w:color w:val="6174A0"/>
                      <w:sz w:val="14"/>
                      <w:szCs w:val="14"/>
                    </w:rPr>
                    <w:t xml:space="preserve">S T R A T   F O C U S   C O N S U L T I N G</w:t>
                  </w:r>
                </w:p>
              </w:tc>
            </w:tr>
          </w:tbl>
          <w:p>
            <w:pPr>
              <w:spacing w:after="0" w:before="100"/>
            </w:pPr>
            <w:r>
              <w:rPr>
                <w:rFonts w:ascii="Calibri" w:cs="Calibri" w:eastAsia="Calibri" w:hAnsi="Calibri"/>
                <w:b/>
                <w:bCs/>
                <w:color w:val="FFFFFF"/>
                <w:sz w:val="16"/>
                <w:szCs w:val="16"/>
              </w:rPr>
              <w:t xml:space="preserve">Stratégie · Performance Commerciale · Marketing d’Innovation</w:t>
            </w:r>
          </w:p>
          <w:p>
            <w:pPr>
              <w:spacing w:after="0" w:before="0"/>
            </w:pPr>
            <w:r>
              <w:rPr>
                <w:rFonts w:ascii="Cambria" w:cs="Cambria" w:eastAsia="Cambria" w:hAnsi="Cambria"/>
                <w:i/>
                <w:iCs/>
                <w:color w:val="C9A84C"/>
                <w:sz w:val="16"/>
                <w:szCs w:val="16"/>
              </w:rPr>
              <w:t xml:space="preserve">Parce que votre chiffre d’affaires compte</w:t>
            </w:r>
          </w:p>
        </w:tc>
        <w:tc>
          <w:tcPr>
            <w:tcW w:type="dxa" w:w="5103"/>
            <w:shd w:fill="0D2B6E" w:color="auto" w:val="clear"/>
            <w:tcMar>
              <w:top w:type="dxa" w:w="160"/>
              <w:left w:type="dxa" w:w="200"/>
              <w:bottom w:type="dxa" w:w="140"/>
              <w:right w:type="dxa" w:w="200"/>
            </w:tcMar>
            <w:vAlign w:val="top"/>
          </w:tcPr>
          <w:tbl>
            <w:tblPr>
              <w:tblW w:type="dxa" w:w="4700"/>
              <w:tblBorders>
                <w:top w:val="single" w:color="9AA6BC" w:sz="4"/>
                <w:left w:val="single" w:color="9AA6BC" w:sz="4"/>
                <w:bottom w:val="single" w:color="9AA6BC" w:sz="4"/>
                <w:right w:val="single" w:color="9AA6BC" w:sz="4"/>
                <w:insideH w:val="single" w:color="9AA6BC" w:sz="4"/>
                <w:insideV w:val="single" w:color="9AA6BC" w:sz="4"/>
              </w:tblBorders>
            </w:tblPr>
            <w:tblGrid>
              <w:gridCol w:w="4700"/>
            </w:tblGrid>
            <w:tr>
              <w:trPr>
                <w:cantSplit/>
                <w:trHeight w:val="1150" w:hRule="atLeast"/>
              </w:trPr>
              <w:tc>
                <w:tcPr>
                  <w:tcW w:type="dxa" w:w="4700"/>
                  <w:shd w:fill="FFFFFF" w:color="auto" w:val="clear"/>
                  <w:tcMar>
                    <w:top w:type="dxa" w:w="120"/>
                    <w:left w:type="dxa" w:w="160"/>
                    <w:bottom w:type="dxa" w:w="120"/>
                    <w:right w:type="dxa" w:w="160"/>
                  </w:tcMar>
                  <w:vAlign w:val="center"/>
                </w:tcPr>
                <w:p>
                  <w:pPr>
                    <w:spacing w:after="40" w:before="0"/>
                    <w:jc w:val="right"/>
                  </w:pPr>
                  <w:r>
                    <w:rPr>
                      <w:rFonts w:ascii="Cambria" w:cs="Cambria" w:eastAsia="Cambria" w:hAnsi="Cambria"/>
                      <w:b/>
                      <w:bCs/>
                      <w:color w:val="0D2B6E"/>
                      <w:sz w:val="32"/>
                      <w:szCs w:val="32"/>
                    </w:rPr>
                    <w:t xml:space="preserve">CONTRAT DE PRESTATION</w:t>
                  </w:r>
                </w:p>
                <w:p>
                  <w:pPr>
                    <w:spacing w:after="0" w:before="0"/>
                    <w:jc w:val="right"/>
                  </w:pPr>
                  <w:r>
                    <w:rPr>
                      <w:rFonts w:ascii="Calibri" w:cs="Calibri" w:eastAsia="Calibri" w:hAnsi="Calibri"/>
                      <w:b/>
                      <w:bCs/>
                      <w:color w:val="7D8698"/>
                      <w:sz w:val="16"/>
                      <w:szCs w:val="16"/>
                    </w:rPr>
                    <w:t xml:space="preserve">N° : </w:t>
                  </w:r>
                  <w:r>
                    <w:rPr>
                      <w:rFonts w:ascii="Calibri" w:cs="Calibri" w:eastAsia="Calibri" w:hAnsi="Calibri"/>
                      <w:b/>
                      <w:bCs/>
                      <w:color w:val="1B2433"/>
                      <w:sz w:val="16"/>
                      <w:szCs w:val="16"/>
                    </w:rPr>
                    <w:t xml:space="preserve">CT-……/2026</w:t>
                  </w:r>
                </w:p>
                <w:p>
                  <w:pPr>
                    <w:spacing w:after="0" w:before="0"/>
                    <w:jc w:val="right"/>
                  </w:pPr>
                  <w:r>
                    <w:rPr>
                      <w:rFonts w:ascii="Calibri" w:cs="Calibri" w:eastAsia="Calibri" w:hAnsi="Calibri"/>
                      <w:b/>
                      <w:bCs/>
                      <w:color w:val="7D8698"/>
                      <w:sz w:val="16"/>
                      <w:szCs w:val="16"/>
                    </w:rPr>
                    <w:t xml:space="preserve">Date : </w:t>
                  </w:r>
                  <w:r>
                    <w:rPr>
                      <w:rFonts w:ascii="Calibri" w:cs="Calibri" w:eastAsia="Calibri" w:hAnsi="Calibri"/>
                      <w:b/>
                      <w:bCs/>
                      <w:color w:val="1B2433"/>
                      <w:sz w:val="16"/>
                      <w:szCs w:val="16"/>
                    </w:rPr>
                    <w:t xml:space="preserve">……/……/2026</w:t>
                  </w:r>
                </w:p>
                <w:p>
                  <w:pPr>
                    <w:spacing w:after="0" w:before="0"/>
                    <w:jc w:val="right"/>
                  </w:pPr>
                  <w:r>
                    <w:rPr>
                      <w:rFonts w:ascii="Calibri" w:cs="Calibri" w:eastAsia="Calibri" w:hAnsi="Calibri"/>
                      <w:b/>
                      <w:bCs/>
                      <w:color w:val="7D8698"/>
                      <w:sz w:val="16"/>
                      <w:szCs w:val="16"/>
                    </w:rPr>
                    <w:t xml:space="preserve">Offre : </w:t>
                  </w:r>
                  <w:r>
                    <w:rPr>
                      <w:rFonts w:ascii="Calibri" w:cs="Calibri" w:eastAsia="Calibri" w:hAnsi="Calibri"/>
                      <w:b/>
                      <w:bCs/>
                      <w:color w:val="1B2433"/>
                      <w:sz w:val="16"/>
                      <w:szCs w:val="16"/>
                    </w:rPr>
                    <w:t xml:space="preserve">Audit / Croissance / Digital / Academy</w:t>
                  </w:r>
                </w:p>
              </w:tc>
            </w:tr>
          </w:tbl>
          <w:p/>
        </w:tc>
      </w:tr>
    </w:tbl>
    <w:p>
      <w:pPr>
        <w:spacing w:after="60" w:before="0"/>
      </w:pPr>
      <w:r>
        <w:rPr>
          <w:rFonts w:ascii="Calibri" w:cs="Calibri" w:eastAsia="Calibri" w:hAnsi="Calibri"/>
          <w:color w:val="1B2433"/>
          <w:sz w:val="20"/>
          <w:szCs w:val="20"/>
        </w:rPr>
        <w:t xml:space="preserve"/>
      </w:r>
    </w:p>
    <w:p>
      <w:pPr>
        <w:spacing w:after="60" w:before="0"/>
      </w:pPr>
      <w:r>
        <w:rPr>
          <w:rFonts w:ascii="Calibri" w:cs="Calibri" w:eastAsia="Calibri" w:hAnsi="Calibri"/>
          <w:i/>
          <w:iCs/>
          <w:color w:val="7D8698"/>
          <w:sz w:val="16"/>
          <w:szCs w:val="16"/>
        </w:rPr>
        <w:t xml:space="preserve">Modèle de travail : à faire valider par un juriste ou un conseil inscrit au Congo avant toute utilisation contractuelle.</w:t>
      </w:r>
    </w:p>
    <w:p>
      <w:pPr>
        <w:keepNext/>
        <w:spacing w:after="80" w:before="200"/>
      </w:pPr>
      <w:r>
        <w:rPr>
          <w:rFonts w:ascii="Cambria" w:cs="Cambria" w:eastAsia="Cambria" w:hAnsi="Cambria"/>
          <w:b/>
          <w:bCs/>
          <w:color w:val="C9A84C"/>
          <w:sz w:val="24"/>
          <w:szCs w:val="24"/>
        </w:rPr>
        <w:t xml:space="preserve">1. </w:t>
      </w:r>
      <w:r>
        <w:rPr>
          <w:rFonts w:ascii="Cambria" w:cs="Cambria" w:eastAsia="Cambria" w:hAnsi="Cambria"/>
          <w:b/>
          <w:bCs/>
          <w:color w:val="0D2B6E"/>
          <w:sz w:val="24"/>
          <w:szCs w:val="24"/>
        </w:rPr>
        <w:t xml:space="preserve">Les parties</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Prestataire</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STRAT FOCUS CONSULTING (STFC Expertise)</w:t>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Représenté par</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Rodriguez MOKHASSA, Fondateur</w:t>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Siège</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Zone OCI, Q. MPITA — Pointe-Noire</w:t>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RCCM / NIU</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CG-PNR-01-2025-A11-00010 / [à compléter]</w:t>
            </w:r>
          </w:p>
        </w:tc>
      </w:tr>
    </w:tbl>
    <w:p>
      <w:pPr>
        <w:spacing w:after="60" w:before="0"/>
      </w:pPr>
      <w:r>
        <w:rPr>
          <w:rFonts w:ascii="Calibri" w:cs="Calibri" w:eastAsia="Calibri" w:hAnsi="Calibri"/>
          <w:color w:val="1B2433"/>
          <w:sz w:val="20"/>
          <w:szCs w:val="20"/>
        </w:rPr>
        <w:t xml:space="preserve"/>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Client (raison sociale)</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Représenté par</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Fonction</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Siège social</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RCCM</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NIU</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keepNext/>
        <w:spacing w:after="80" w:before="200"/>
      </w:pPr>
      <w:r>
        <w:rPr>
          <w:rFonts w:ascii="Cambria" w:cs="Cambria" w:eastAsia="Cambria" w:hAnsi="Cambria"/>
          <w:b/>
          <w:bCs/>
          <w:color w:val="C9A84C"/>
          <w:sz w:val="24"/>
          <w:szCs w:val="24"/>
        </w:rPr>
        <w:t xml:space="preserve">2. </w:t>
      </w:r>
      <w:r>
        <w:rPr>
          <w:rFonts w:ascii="Cambria" w:cs="Cambria" w:eastAsia="Cambria" w:hAnsi="Cambria"/>
          <w:b/>
          <w:bCs/>
          <w:color w:val="0D2B6E"/>
          <w:sz w:val="24"/>
          <w:szCs w:val="24"/>
        </w:rPr>
        <w:t xml:space="preserve">Objet de la mission</w:t>
      </w:r>
    </w:p>
    <w:p>
      <w:pPr>
        <w:spacing w:after="80" w:before="0"/>
        <w:jc w:val="both"/>
      </w:pPr>
      <w:r>
        <w:rPr>
          <w:rFonts w:ascii="Calibri" w:cs="Calibri" w:eastAsia="Calibri" w:hAnsi="Calibri"/>
          <w:color w:val="1B2433"/>
          <w:sz w:val="19"/>
          <w:szCs w:val="19"/>
        </w:rPr>
        <w:t xml:space="preserve">Le présent contrat a pour objet de définir les conditions dans lesquelles STFC réalise pour le Client la mission décrite ci-dessous.</w:t>
      </w:r>
    </w:p>
    <w:p>
      <w:pPr>
        <w:spacing w:after="80" w:before="0"/>
      </w:pPr>
      <w:r>
        <w:rPr>
          <w:rFonts w:ascii="Calibri" w:cs="Calibri" w:eastAsia="Calibri" w:hAnsi="Calibri"/>
          <w:b/>
          <w:bCs/>
          <w:color w:val="0D2B6E"/>
          <w:sz w:val="18"/>
          <w:szCs w:val="18"/>
        </w:rPr>
        <w:t xml:space="preserve">Offre(s) retenue(s) :  </w:t>
      </w:r>
      <w:r>
        <w:rPr>
          <w:rFonts w:ascii="Calibri" w:cs="Calibri" w:eastAsia="Calibri" w:hAnsi="Calibri"/>
          <w:color w:val="1B2433"/>
          <w:sz w:val="18"/>
          <w:szCs w:val="18"/>
        </w:rPr>
        <w:t xml:space="preserve">☐ Audit   ☐ Croissance   ☐ Transformation Digitale   ☐ Academy</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Intitulé de la mission</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Périmètre (entités, sites, équipes)</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Objectifs attendus</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Livrables</w:t>
            </w:r>
          </w:p>
        </w:tc>
        <w:tc>
          <w:tcPr>
            <w:tcW w:type="dxa" w:w="7961"/>
            <w:gridSpan w:val="3"/>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keepNext/>
        <w:spacing w:after="80" w:before="200"/>
      </w:pPr>
      <w:r>
        <w:rPr>
          <w:rFonts w:ascii="Cambria" w:cs="Cambria" w:eastAsia="Cambria" w:hAnsi="Cambria"/>
          <w:b/>
          <w:bCs/>
          <w:color w:val="C9A84C"/>
          <w:sz w:val="24"/>
          <w:szCs w:val="24"/>
        </w:rPr>
        <w:t xml:space="preserve">3. </w:t>
      </w:r>
      <w:r>
        <w:rPr>
          <w:rFonts w:ascii="Cambria" w:cs="Cambria" w:eastAsia="Cambria" w:hAnsi="Cambria"/>
          <w:b/>
          <w:bCs/>
          <w:color w:val="0D2B6E"/>
          <w:sz w:val="24"/>
          <w:szCs w:val="24"/>
        </w:rPr>
        <w:t xml:space="preserve">Durée et calendrier</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Date de démarrage</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Date de fin prévue</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Durée totale</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Rythme d’intervention</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Réunion de lancement</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Restitution finale</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keepNext/>
        <w:spacing w:after="80" w:before="200"/>
      </w:pPr>
      <w:r>
        <w:rPr>
          <w:rFonts w:ascii="Cambria" w:cs="Cambria" w:eastAsia="Cambria" w:hAnsi="Cambria"/>
          <w:b/>
          <w:bCs/>
          <w:color w:val="C9A84C"/>
          <w:sz w:val="24"/>
          <w:szCs w:val="24"/>
        </w:rPr>
        <w:t xml:space="preserve">4. </w:t>
      </w:r>
      <w:r>
        <w:rPr>
          <w:rFonts w:ascii="Cambria" w:cs="Cambria" w:eastAsia="Cambria" w:hAnsi="Cambria"/>
          <w:b/>
          <w:bCs/>
          <w:color w:val="0D2B6E"/>
          <w:sz w:val="24"/>
          <w:szCs w:val="24"/>
        </w:rPr>
        <w:t xml:space="preserve">Prix et modalités de paiement</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1000"/>
        <w:gridCol w:w="3606"/>
        <w:gridCol w:w="1300"/>
        <w:gridCol w:w="2300"/>
        <w:gridCol w:w="2000"/>
      </w:tblGrid>
      <w:tr>
        <w:trPr>
          <w:cantSplit/>
          <w:trHeight w:val="420" w:hRule="atLeast"/>
        </w:trPr>
        <w:tc>
          <w:tcPr>
            <w:tcW w:type="dxa" w:w="1000"/>
            <w:shd w:fill="0D2B6E"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17"/>
                <w:szCs w:val="17"/>
              </w:rPr>
              <w:t xml:space="preserve">Échéance</w:t>
            </w:r>
          </w:p>
        </w:tc>
        <w:tc>
          <w:tcPr>
            <w:tcW w:type="dxa" w:w="3606"/>
            <w:shd w:fill="0D2B6E"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17"/>
                <w:szCs w:val="17"/>
              </w:rPr>
              <w:t xml:space="preserve">Événement déclencheur</w:t>
            </w:r>
          </w:p>
        </w:tc>
        <w:tc>
          <w:tcPr>
            <w:tcW w:type="dxa" w:w="1300"/>
            <w:shd w:fill="0D2B6E"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17"/>
                <w:szCs w:val="17"/>
              </w:rPr>
              <w:t xml:space="preserve">% du prix</w:t>
            </w:r>
          </w:p>
        </w:tc>
        <w:tc>
          <w:tcPr>
            <w:tcW w:type="dxa" w:w="2300"/>
            <w:shd w:fill="0D2B6E"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17"/>
                <w:szCs w:val="17"/>
              </w:rPr>
              <w:t xml:space="preserve">Montant HT (FCFA)</w:t>
            </w:r>
          </w:p>
        </w:tc>
        <w:tc>
          <w:tcPr>
            <w:tcW w:type="dxa" w:w="2000"/>
            <w:shd w:fill="0D2B6E" w:color="auto" w:val="clear"/>
            <w:tcMar>
              <w:top w:type="dxa" w:w="60"/>
              <w:left w:type="dxa" w:w="110"/>
              <w:bottom w:type="dxa" w:w="60"/>
              <w:right w:type="dxa" w:w="110"/>
            </w:tcMar>
            <w:vAlign w:val="center"/>
          </w:tcPr>
          <w:p>
            <w:pPr>
              <w:spacing w:after="0" w:before="0"/>
              <w:jc w:val="center"/>
            </w:pPr>
            <w:r>
              <w:rPr>
                <w:rFonts w:ascii="Calibri" w:cs="Calibri" w:eastAsia="Calibri" w:hAnsi="Calibri"/>
                <w:b/>
                <w:bCs/>
                <w:color w:val="FFFFFF"/>
                <w:sz w:val="17"/>
                <w:szCs w:val="17"/>
              </w:rPr>
              <w:t xml:space="preserve">Date prévue</w:t>
            </w:r>
          </w:p>
        </w:tc>
      </w:tr>
      <w:tr>
        <w:trPr>
          <w:cantSplit/>
          <w:trHeight w:val="400" w:hRule="atLeast"/>
        </w:trPr>
        <w:tc>
          <w:tcPr>
            <w:tcW w:type="dxa" w:w="1000"/>
            <w:tcMar>
              <w:top w:type="dxa" w:w="60"/>
              <w:left w:type="dxa" w:w="110"/>
              <w:bottom w:type="dxa" w:w="60"/>
              <w:right w:type="dxa" w:w="110"/>
            </w:tcMar>
            <w:vAlign w:val="center"/>
          </w:tcPr>
          <w:p>
            <w:pPr>
              <w:spacing w:after="0" w:before="0"/>
              <w:jc w:val="center"/>
            </w:pPr>
            <w:r>
              <w:rPr>
                <w:rFonts w:ascii="Calibri" w:cs="Calibri" w:eastAsia="Calibri" w:hAnsi="Calibri"/>
                <w:b/>
                <w:bCs/>
                <w:color w:val="0D2B6E"/>
                <w:sz w:val="17"/>
                <w:szCs w:val="17"/>
              </w:rPr>
              <w:t xml:space="preserve">1</w:t>
            </w:r>
          </w:p>
        </w:tc>
        <w:tc>
          <w:tcPr>
            <w:tcW w:type="dxa" w:w="3606"/>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Acompte à la signature</w:t>
            </w:r>
          </w:p>
        </w:tc>
        <w:tc>
          <w:tcPr>
            <w:tcW w:type="dxa" w:w="1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1000"/>
            <w:tcMar>
              <w:top w:type="dxa" w:w="60"/>
              <w:left w:type="dxa" w:w="110"/>
              <w:bottom w:type="dxa" w:w="60"/>
              <w:right w:type="dxa" w:w="110"/>
            </w:tcMar>
            <w:vAlign w:val="center"/>
          </w:tcPr>
          <w:p>
            <w:pPr>
              <w:spacing w:after="0" w:before="0"/>
              <w:jc w:val="center"/>
            </w:pPr>
            <w:r>
              <w:rPr>
                <w:rFonts w:ascii="Calibri" w:cs="Calibri" w:eastAsia="Calibri" w:hAnsi="Calibri"/>
                <w:b/>
                <w:bCs/>
                <w:color w:val="0D2B6E"/>
                <w:sz w:val="17"/>
                <w:szCs w:val="17"/>
              </w:rPr>
              <w:t xml:space="preserve">2</w:t>
            </w:r>
          </w:p>
        </w:tc>
        <w:tc>
          <w:tcPr>
            <w:tcW w:type="dxa" w:w="3606"/>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Remise du livrable intermédiaire</w:t>
            </w:r>
          </w:p>
        </w:tc>
        <w:tc>
          <w:tcPr>
            <w:tcW w:type="dxa" w:w="1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1000"/>
            <w:tcMar>
              <w:top w:type="dxa" w:w="60"/>
              <w:left w:type="dxa" w:w="110"/>
              <w:bottom w:type="dxa" w:w="60"/>
              <w:right w:type="dxa" w:w="110"/>
            </w:tcMar>
            <w:vAlign w:val="center"/>
          </w:tcPr>
          <w:p>
            <w:pPr>
              <w:spacing w:after="0" w:before="0"/>
              <w:jc w:val="center"/>
            </w:pPr>
            <w:r>
              <w:rPr>
                <w:rFonts w:ascii="Calibri" w:cs="Calibri" w:eastAsia="Calibri" w:hAnsi="Calibri"/>
                <w:b/>
                <w:bCs/>
                <w:color w:val="0D2B6E"/>
                <w:sz w:val="17"/>
                <w:szCs w:val="17"/>
              </w:rPr>
              <w:t xml:space="preserve">3</w:t>
            </w:r>
          </w:p>
        </w:tc>
        <w:tc>
          <w:tcPr>
            <w:tcW w:type="dxa" w:w="3606"/>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Remise du livrable final</w:t>
            </w:r>
          </w:p>
        </w:tc>
        <w:tc>
          <w:tcPr>
            <w:tcW w:type="dxa" w:w="1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1000"/>
            <w:tcMar>
              <w:top w:type="dxa" w:w="60"/>
              <w:left w:type="dxa" w:w="110"/>
              <w:bottom w:type="dxa" w:w="60"/>
              <w:right w:type="dxa" w:w="110"/>
            </w:tcMar>
            <w:vAlign w:val="center"/>
          </w:tcPr>
          <w:p>
            <w:pPr>
              <w:spacing w:after="0" w:before="0"/>
              <w:jc w:val="center"/>
            </w:pPr>
            <w:r>
              <w:rPr>
                <w:rFonts w:ascii="Calibri" w:cs="Calibri" w:eastAsia="Calibri" w:hAnsi="Calibri"/>
                <w:b/>
                <w:bCs/>
                <w:color w:val="0D2B6E"/>
                <w:sz w:val="17"/>
                <w:szCs w:val="17"/>
              </w:rPr>
              <w:t xml:space="preserve"/>
            </w:r>
          </w:p>
        </w:tc>
        <w:tc>
          <w:tcPr>
            <w:tcW w:type="dxa" w:w="3606"/>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TOTAL HT</w:t>
            </w:r>
          </w:p>
        </w:tc>
        <w:tc>
          <w:tcPr>
            <w:tcW w:type="dxa" w:w="1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3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00"/>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spacing w:after="80" w:before="80"/>
        <w:jc w:val="both"/>
      </w:pPr>
      <w:r>
        <w:rPr>
          <w:rFonts w:ascii="Calibri" w:cs="Calibri" w:eastAsia="Calibri" w:hAnsi="Calibri"/>
          <w:color w:val="1B2433"/>
          <w:sz w:val="19"/>
          <w:szCs w:val="19"/>
        </w:rPr>
        <w:t xml:space="preserve">Les montants s’entendent hors taxes : TVA 18 % et centime additionnel (5 % de la TVA) en sus. Frais de déplacement hors Pointe-Noire : ☐ inclus   ☐ refacturés au réel   ☐ forfait de …………… FCFA.</w:t>
      </w:r>
    </w:p>
    <w:p>
      <w:pPr>
        <w:keepNext/>
        <w:spacing w:after="80" w:before="200"/>
      </w:pPr>
      <w:r>
        <w:rPr>
          <w:rFonts w:ascii="Cambria" w:cs="Cambria" w:eastAsia="Cambria" w:hAnsi="Cambria"/>
          <w:b/>
          <w:bCs/>
          <w:color w:val="C9A84C"/>
          <w:sz w:val="24"/>
          <w:szCs w:val="24"/>
        </w:rPr>
        <w:t xml:space="preserve">5. </w:t>
      </w:r>
      <w:r>
        <w:rPr>
          <w:rFonts w:ascii="Cambria" w:cs="Cambria" w:eastAsia="Cambria" w:hAnsi="Cambria"/>
          <w:b/>
          <w:bCs/>
          <w:color w:val="0D2B6E"/>
          <w:sz w:val="24"/>
          <w:szCs w:val="24"/>
        </w:rPr>
        <w:t xml:space="preserve">Obligations des parties</w:t>
      </w:r>
    </w:p>
    <w:p>
      <w:pPr>
        <w:spacing w:after="80" w:before="0"/>
        <w:jc w:val="both"/>
      </w:pPr>
      <w:r>
        <w:rPr>
          <w:rFonts w:ascii="Calibri" w:cs="Calibri" w:eastAsia="Calibri" w:hAnsi="Calibri"/>
          <w:color w:val="1B2433"/>
          <w:sz w:val="19"/>
          <w:szCs w:val="19"/>
        </w:rPr>
        <w:t xml:space="preserve">STFC exécute la mission selon une obligation de moyens, avec la diligence d’un professionnel du conseil, et désigne un consultant responsable. Le Client désigne un interlocuteur décisionnaire, fournit les informations nécessaires, donne accès à ses équipes et outils et valide les livrables dans un délai de [10] jours ouvrés.</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2245"/>
        <w:gridCol w:w="2858"/>
        <w:gridCol w:w="2041"/>
        <w:gridCol w:w="3062"/>
      </w:tblGrid>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Consultant STFC responsable</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Téléphone</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r>
        <w:trPr>
          <w:cantSplit/>
          <w:trHeight w:val="400" w:hRule="atLeast"/>
        </w:trPr>
        <w:tc>
          <w:tcPr>
            <w:tcW w:type="dxa" w:w="2245"/>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Interlocuteur Client</w:t>
            </w:r>
          </w:p>
        </w:tc>
        <w:tc>
          <w:tcPr>
            <w:tcW w:type="dxa" w:w="2858"/>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c>
          <w:tcPr>
            <w:tcW w:type="dxa" w:w="2041"/>
            <w:shd w:fill="EAEEF6" w:color="auto" w:val="clear"/>
            <w:tcMar>
              <w:top w:type="dxa" w:w="60"/>
              <w:left w:type="dxa" w:w="110"/>
              <w:bottom w:type="dxa" w:w="60"/>
              <w:right w:type="dxa" w:w="110"/>
            </w:tcMar>
            <w:vAlign w:val="center"/>
          </w:tcPr>
          <w:p>
            <w:pPr>
              <w:spacing w:after="0" w:before="0"/>
            </w:pPr>
            <w:r>
              <w:rPr>
                <w:rFonts w:ascii="Calibri" w:cs="Calibri" w:eastAsia="Calibri" w:hAnsi="Calibri"/>
                <w:b/>
                <w:bCs/>
                <w:color w:val="0D2B6E"/>
                <w:sz w:val="18"/>
                <w:szCs w:val="18"/>
              </w:rPr>
              <w:t xml:space="preserve">Téléphone</w:t>
            </w:r>
          </w:p>
        </w:tc>
        <w:tc>
          <w:tcPr>
            <w:tcW w:type="dxa" w:w="3062"/>
            <w:tcMar>
              <w:top w:type="dxa" w:w="60"/>
              <w:left w:type="dxa" w:w="110"/>
              <w:bottom w:type="dxa" w:w="60"/>
              <w:right w:type="dxa" w:w="110"/>
            </w:tcMar>
            <w:vAlign w:val="center"/>
          </w:tcPr>
          <w:p>
            <w:pPr>
              <w:spacing w:after="0" w:before="0"/>
            </w:pPr>
            <w:r>
              <w:rPr>
                <w:rFonts w:ascii="Calibri" w:cs="Calibri" w:eastAsia="Calibri" w:hAnsi="Calibri"/>
                <w:color w:val="1B2433"/>
                <w:sz w:val="18"/>
                <w:szCs w:val="18"/>
              </w:rPr>
              <w:t xml:space="preserve"/>
            </w:r>
          </w:p>
        </w:tc>
      </w:tr>
    </w:tbl>
    <w:p>
      <w:pPr>
        <w:keepNext/>
        <w:spacing w:after="80" w:before="200"/>
      </w:pPr>
      <w:r>
        <w:rPr>
          <w:rFonts w:ascii="Cambria" w:cs="Cambria" w:eastAsia="Cambria" w:hAnsi="Cambria"/>
          <w:b/>
          <w:bCs/>
          <w:color w:val="C9A84C"/>
          <w:sz w:val="24"/>
          <w:szCs w:val="24"/>
        </w:rPr>
        <w:t xml:space="preserve">6. </w:t>
      </w:r>
      <w:r>
        <w:rPr>
          <w:rFonts w:ascii="Cambria" w:cs="Cambria" w:eastAsia="Cambria" w:hAnsi="Cambria"/>
          <w:b/>
          <w:bCs/>
          <w:color w:val="0D2B6E"/>
          <w:sz w:val="24"/>
          <w:szCs w:val="24"/>
        </w:rPr>
        <w:t xml:space="preserve">Confidentialité et propriété intellectuelle</w:t>
      </w:r>
    </w:p>
    <w:p>
      <w:pPr>
        <w:spacing w:after="80" w:before="0"/>
        <w:jc w:val="both"/>
      </w:pPr>
      <w:r>
        <w:rPr>
          <w:rFonts w:ascii="Calibri" w:cs="Calibri" w:eastAsia="Calibri" w:hAnsi="Calibri"/>
          <w:color w:val="1B2433"/>
          <w:sz w:val="19"/>
          <w:szCs w:val="19"/>
        </w:rPr>
        <w:t xml:space="preserve">Les parties sont tenues à une stricte confidentialité pendant la mission et deux (2) ans après son terme. Les méthodes et outils de STFC restent sa propriété ; le Client dispose, après paiement intégral, d’un droit d’usage interne des livrables et de la remise des accès aux outils digitaux créés pour lui.</w:t>
      </w:r>
    </w:p>
    <w:p>
      <w:pPr>
        <w:keepNext/>
        <w:spacing w:after="80" w:before="200"/>
      </w:pPr>
      <w:r>
        <w:rPr>
          <w:rFonts w:ascii="Cambria" w:cs="Cambria" w:eastAsia="Cambria" w:hAnsi="Cambria"/>
          <w:b/>
          <w:bCs/>
          <w:color w:val="C9A84C"/>
          <w:sz w:val="24"/>
          <w:szCs w:val="24"/>
        </w:rPr>
        <w:t xml:space="preserve">7. </w:t>
      </w:r>
      <w:r>
        <w:rPr>
          <w:rFonts w:ascii="Cambria" w:cs="Cambria" w:eastAsia="Cambria" w:hAnsi="Cambria"/>
          <w:b/>
          <w:bCs/>
          <w:color w:val="0D2B6E"/>
          <w:sz w:val="24"/>
          <w:szCs w:val="24"/>
        </w:rPr>
        <w:t xml:space="preserve">Résiliation et litiges</w:t>
      </w:r>
    </w:p>
    <w:p>
      <w:pPr>
        <w:spacing w:after="80" w:before="0"/>
        <w:jc w:val="both"/>
      </w:pPr>
      <w:r>
        <w:rPr>
          <w:rFonts w:ascii="Calibri" w:cs="Calibri" w:eastAsia="Calibri" w:hAnsi="Calibri"/>
          <w:color w:val="1B2433"/>
          <w:sz w:val="19"/>
          <w:szCs w:val="19"/>
        </w:rPr>
        <w:t xml:space="preserve">En cas de manquement grave non réparé quinze (15) jours après mise en demeure, le contrat peut être résilié de plein droit ; les prestations réalisées restent dues. Le contrat est régi par le droit congolais et les Actes uniformes OHADA ; à défaut d’accord amiable, les juridictions de Pointe-Noire sont compétentes.</w:t>
      </w:r>
    </w:p>
    <w:p>
      <w:pPr>
        <w:keepNext/>
        <w:spacing w:after="80" w:before="200"/>
      </w:pPr>
      <w:r>
        <w:rPr>
          <w:rFonts w:ascii="Cambria" w:cs="Cambria" w:eastAsia="Cambria" w:hAnsi="Cambria"/>
          <w:b/>
          <w:bCs/>
          <w:color w:val="C9A84C"/>
          <w:sz w:val="24"/>
          <w:szCs w:val="24"/>
        </w:rPr>
        <w:t xml:space="preserve">8. </w:t>
      </w:r>
      <w:r>
        <w:rPr>
          <w:rFonts w:ascii="Cambria" w:cs="Cambria" w:eastAsia="Cambria" w:hAnsi="Cambria"/>
          <w:b/>
          <w:bCs/>
          <w:color w:val="0D2B6E"/>
          <w:sz w:val="24"/>
          <w:szCs w:val="24"/>
        </w:rPr>
        <w:t xml:space="preserve">Documents contractuels</w:t>
      </w:r>
    </w:p>
    <w:p>
      <w:pPr>
        <w:spacing w:after="80" w:before="0"/>
        <w:jc w:val="both"/>
      </w:pPr>
      <w:r>
        <w:rPr>
          <w:rFonts w:ascii="Calibri" w:cs="Calibri" w:eastAsia="Calibri" w:hAnsi="Calibri"/>
          <w:color w:val="1B2433"/>
          <w:sz w:val="19"/>
          <w:szCs w:val="19"/>
        </w:rPr>
        <w:t xml:space="preserve">Le présent contrat, la proposition commerciale ou le devis n° …………… accepté, le bon de commande et les Conditions Générales de Vente de STFC, dont le Client reconnaît avoir pris connaissance.</w:t>
      </w:r>
    </w:p>
    <w:p>
      <w:pPr>
        <w:spacing w:after="100" w:before="120"/>
      </w:pPr>
      <w:r>
        <w:rPr>
          <w:rFonts w:ascii="Calibri" w:cs="Calibri" w:eastAsia="Calibri" w:hAnsi="Calibri"/>
          <w:color w:val="1B2433"/>
          <w:sz w:val="19"/>
          <w:szCs w:val="19"/>
        </w:rPr>
        <w:t xml:space="preserve">Fait à Pointe-Noire, le ……/……/2026, en deux exemplaires originaux.</w:t>
      </w:r>
    </w:p>
    <w:tbl>
      <w:tblPr>
        <w:tblW w:type="dxa" w:w="10206"/>
        <w:tblBorders>
          <w:top w:val="single" w:color="C5CDDC" w:sz="4"/>
          <w:left w:val="single" w:color="C5CDDC" w:sz="4"/>
          <w:bottom w:val="single" w:color="C5CDDC" w:sz="4"/>
          <w:right w:val="single" w:color="C5CDDC" w:sz="4"/>
          <w:insideH w:val="single" w:color="C5CDDC" w:sz="4"/>
          <w:insideV w:val="single" w:color="C5CDDC" w:sz="4"/>
        </w:tblBorders>
      </w:tblPr>
      <w:tblGrid>
        <w:gridCol w:w="5103"/>
        <w:gridCol w:w="5103"/>
      </w:tblGrid>
      <w:tr>
        <w:trPr>
          <w:cantSplit/>
          <w:trHeight w:val="1300" w:hRule="atLeast"/>
        </w:trPr>
        <w:tc>
          <w:tcPr>
            <w:tcW w:type="dxa" w:w="5103"/>
            <w:shd w:fill="EAEEF6" w:color="auto" w:val="clear"/>
            <w:tcMar>
              <w:top w:type="dxa" w:w="60"/>
              <w:left w:type="dxa" w:w="110"/>
              <w:bottom w:type="dxa" w:w="60"/>
              <w:right w:type="dxa" w:w="110"/>
            </w:tcMar>
            <w:vAlign w:val="top"/>
          </w:tcPr>
          <w:p>
            <w:pPr>
              <w:spacing w:after="0" w:before="0"/>
            </w:pPr>
            <w:r>
              <w:rPr>
                <w:rFonts w:ascii="Calibri" w:cs="Calibri" w:eastAsia="Calibri" w:hAnsi="Calibri"/>
                <w:b/>
                <w:bCs/>
                <w:color w:val="0D2B6E"/>
                <w:sz w:val="18"/>
                <w:szCs w:val="18"/>
              </w:rPr>
              <w:t xml:space="preserve">Pour le Client — « Lu et approuvé »</w:t>
            </w:r>
          </w:p>
          <w:p>
            <w:pPr>
              <w:spacing w:after="0" w:before="0"/>
            </w:pPr>
            <w:r>
              <w:rPr>
                <w:rFonts w:ascii="Calibri" w:cs="Calibri" w:eastAsia="Calibri" w:hAnsi="Calibri"/>
                <w:i/>
                <w:iCs/>
                <w:color w:val="7D8698"/>
                <w:sz w:val="15"/>
                <w:szCs w:val="15"/>
              </w:rPr>
              <w:t xml:space="preserve">Nom, date, signature et cachet</w:t>
            </w:r>
          </w:p>
        </w:tc>
        <w:tc>
          <w:tcPr>
            <w:tcW w:type="dxa" w:w="5103"/>
            <w:shd w:fill="EAEEF6" w:color="auto" w:val="clear"/>
            <w:tcMar>
              <w:top w:type="dxa" w:w="60"/>
              <w:left w:type="dxa" w:w="110"/>
              <w:bottom w:type="dxa" w:w="60"/>
              <w:right w:type="dxa" w:w="110"/>
            </w:tcMar>
            <w:vAlign w:val="top"/>
          </w:tcPr>
          <w:p>
            <w:pPr>
              <w:spacing w:after="0" w:before="0"/>
            </w:pPr>
            <w:r>
              <w:rPr>
                <w:rFonts w:ascii="Calibri" w:cs="Calibri" w:eastAsia="Calibri" w:hAnsi="Calibri"/>
                <w:b/>
                <w:bCs/>
                <w:color w:val="0D2B6E"/>
                <w:sz w:val="18"/>
                <w:szCs w:val="18"/>
              </w:rPr>
              <w:t xml:space="preserve">Pour STRAT FOCUS CONSULTING</w:t>
            </w:r>
          </w:p>
          <w:p>
            <w:pPr>
              <w:spacing w:after="0" w:before="0"/>
            </w:pPr>
            <w:r>
              <w:rPr>
                <w:rFonts w:ascii="Calibri" w:cs="Calibri" w:eastAsia="Calibri" w:hAnsi="Calibri"/>
                <w:i/>
                <w:iCs/>
                <w:color w:val="7D8698"/>
                <w:sz w:val="15"/>
                <w:szCs w:val="15"/>
              </w:rPr>
              <w:t xml:space="preserve">Nom, date, signature et cachet</w:t>
            </w:r>
          </w:p>
        </w:tc>
      </w:tr>
    </w:tbl>
    <w:sectPr>
      <w:headerReference w:type="default" r:id="rId7"/>
      <w:headerReference w:type="first" r:id="rId8"/>
      <w:footerReference w:type="default" r:id="rId9"/>
      <w:footerReference w:type="first" r:id="rId10"/>
      <w:pgSz w:w="11906" w:h="16838" w:orient="portrait"/>
      <w:pgMar w:top="720" w:right="850" w:bottom="1000" w:left="85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spacing w:after="0" w:before="0"/>
      <w:jc w:val="center"/>
    </w:pPr>
    <w:r>
      <w:rPr>
        <w:rFonts w:ascii="Calibri" w:cs="Calibri" w:eastAsia="Calibri" w:hAnsi="Calibri"/>
        <w:color w:val="7D8698"/>
        <w:sz w:val="14"/>
        <w:szCs w:val="14"/>
      </w:rPr>
      <w:t xml:space="preserve">STRAT FOCUS CONSULTING — STFC Expertise — République du Congo — RCCM CG-PNR-01-2025-A11-00010 — NIU : [à compléter]</w:t>
    </w:r>
  </w:p>
  <w:p>
    <w:pPr>
      <w:spacing w:after="0" w:before="0"/>
      <w:jc w:val="center"/>
    </w:pPr>
    <w:r>
      <w:rPr>
        <w:rFonts w:ascii="Calibri" w:cs="Calibri" w:eastAsia="Calibri" w:hAnsi="Calibri"/>
        <w:color w:val="7D8698"/>
        <w:sz w:val="14"/>
        <w:szCs w:val="14"/>
      </w:rPr>
      <w:t xml:space="preserve">Zone OCI, 200 m du Parc Culture, Q. MPITA — Pointe-Noire — Tél : 066 000 066 · 06 974 00 88 · 05 077 25 25 — stratfocusconsulting@gmail.com</w:t>
    </w:r>
  </w:p>
  <w:p>
    <w:pPr>
      <w:jc w:val="right"/>
    </w:pPr>
    <w:r>
      <w:rPr>
        <w:rFonts w:ascii="Calibri" w:cs="Calibri" w:eastAsia="Calibri" w:hAnsi="Calibri"/>
        <w:color w:val="7D8698"/>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AE3" w:sz="4" w:space="4"/>
      </w:pBdr>
      <w:spacing w:after="0" w:before="0"/>
      <w:jc w:val="center"/>
    </w:pPr>
    <w:r>
      <w:rPr>
        <w:rFonts w:ascii="Calibri" w:cs="Calibri" w:eastAsia="Calibri" w:hAnsi="Calibri"/>
        <w:color w:val="7D8698"/>
        <w:sz w:val="14"/>
        <w:szCs w:val="14"/>
      </w:rPr>
      <w:t xml:space="preserve">STRAT FOCUS CONSULTING — STFC Expertise — République du Congo — RCCM CG-PNR-01-2025-A11-00010 — NIU : [à compléter]</w:t>
    </w:r>
  </w:p>
  <w:p>
    <w:pPr>
      <w:spacing w:after="0" w:before="0"/>
      <w:jc w:val="center"/>
    </w:pPr>
    <w:r>
      <w:rPr>
        <w:rFonts w:ascii="Calibri" w:cs="Calibri" w:eastAsia="Calibri" w:hAnsi="Calibri"/>
        <w:color w:val="7D8698"/>
        <w:sz w:val="14"/>
        <w:szCs w:val="14"/>
      </w:rPr>
      <w:t xml:space="preserve">Zone OCI, 200 m du Parc Culture, Q. MPITA — Pointe-Noire — Tél : 066 000 066 · 06 974 00 88 · 05 077 25 25 — stratfocusconsulting@gmail.com</w:t>
    </w:r>
  </w:p>
  <w:p>
    <w:pPr>
      <w:jc w:val="right"/>
    </w:pPr>
    <w:r>
      <w:rPr>
        <w:rFonts w:ascii="Calibri" w:cs="Calibri" w:eastAsia="Calibri" w:hAnsi="Calibri"/>
        <w:color w:val="7D8698"/>
        <w:sz w:val="14"/>
        <w:szCs w:val="14"/>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8" w:space="4"/>
      </w:pBdr>
      <w:spacing w:after="0" w:before="0"/>
      <w:jc w:val="right"/>
    </w:pPr>
    <w:r>
      <w:rPr>
        <w:rFonts w:ascii="Cambria" w:cs="Cambria" w:eastAsia="Cambria" w:hAnsi="Cambria"/>
        <w:b/>
        <w:bCs/>
        <w:color w:val="0D2B6E"/>
        <w:sz w:val="16"/>
        <w:szCs w:val="16"/>
      </w:rPr>
      <w:t xml:space="preserve">STFC Expertise</w:t>
    </w:r>
    <w:r>
      <w:rPr>
        <w:rFonts w:ascii="Calibri" w:cs="Calibri" w:eastAsia="Calibri" w:hAnsi="Calibri"/>
        <w:color w:val="7D8698"/>
        <w:sz w:val="16"/>
        <w:szCs w:val="16"/>
      </w:rPr>
      <w:t xml:space="preserve">  ·  CONTRAT DE PRESTATION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pPr>
    <w:r>
      <w:rPr>
        <w:rFonts w:ascii="Calibri" w:cs="Calibri" w:eastAsia="Calibri" w:hAnsi="Calibri"/>
        <w:color w:val="1B24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9A84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STFC — CONTRAT DE PRESTATION</dc:title>
  <dc:creator>Strat Focus Consulting</dc:creator>
  <cp:lastModifiedBy>Un-named</cp:lastModifiedBy>
  <cp:revision>1</cp:revision>
  <dcterms:created xsi:type="dcterms:W3CDTF">2026-10-30T23:48:10.407Z</dcterms:created>
  <dcterms:modified xsi:type="dcterms:W3CDTF">2026-10-30T23:48:10.407Z</dcterms:modified>
</cp:coreProperties>
</file>

<file path=docProps/custom.xml><?xml version="1.0" encoding="utf-8"?>
<Properties xmlns="http://schemas.openxmlformats.org/officeDocument/2006/custom-properties" xmlns:vt="http://schemas.openxmlformats.org/officeDocument/2006/docPropsVTypes"/>
</file>