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0D2B6E" w:sz="4"/>
          <w:left w:val="single" w:color="0D2B6E" w:sz="4"/>
          <w:bottom w:val="single" w:color="C9A84C" w:sz="24"/>
          <w:right w:val="single" w:color="0D2B6E" w:sz="4"/>
          <w:insideH w:val="none" w:color="FFFFFF" w:sz="0"/>
          <w:insideV w:val="single" w:color="2E4A86" w:sz="4"/>
        </w:tblBorders>
      </w:tblPr>
      <w:tblGrid>
        <w:gridCol w:w="5103"/>
        <w:gridCol w:w="5103"/>
      </w:tblGrid>
      <w:tr>
        <w:trPr>
          <w:cantSplit/>
        </w:trPr>
        <w:tc>
          <w:tcPr>
            <w:tcW w:type="dxa" w:w="5103"/>
            <w:shd w:fill="0D2B6E" w:color="auto" w:val="clear"/>
            <w:tcMar>
              <w:top w:type="dxa" w:w="160"/>
              <w:left w:type="dxa" w:w="200"/>
              <w:bottom w:type="dxa" w:w="140"/>
              <w:right w:type="dxa" w:w="200"/>
            </w:tcMar>
            <w:vAlign w:val="top"/>
          </w:tcPr>
          <w:tbl>
            <w:tblPr>
              <w:tblW w:type="dxa" w:w="4700"/>
              <w:tblBorders>
                <w:top w:val="single" w:color="9AA6BC" w:sz="4"/>
                <w:left w:val="single" w:color="9AA6BC" w:sz="4"/>
                <w:bottom w:val="single" w:color="9AA6BC" w:sz="4"/>
                <w:right w:val="single" w:color="9AA6BC" w:sz="4"/>
                <w:insideH w:val="single" w:color="9AA6BC" w:sz="4"/>
                <w:insideV w:val="single" w:color="9AA6BC" w:sz="4"/>
              </w:tblBorders>
            </w:tblPr>
            <w:tblGrid>
              <w:gridCol w:w="4700"/>
            </w:tblGrid>
            <w:tr>
              <w:trPr>
                <w:cantSplit/>
                <w:trHeight w:val="1150" w:hRule="atLeast"/>
              </w:trPr>
              <w:tc>
                <w:tcPr>
                  <w:tcW w:type="dxa" w:w="4700"/>
                  <w:shd w:fill="FFFFFF" w:color="auto" w:val="clear"/>
                  <w:tcMar>
                    <w:top w:type="dxa" w:w="120"/>
                    <w:left w:type="dxa" w:w="160"/>
                    <w:bottom w:type="dxa" w:w="120"/>
                    <w:right w:type="dxa" w:w="160"/>
                  </w:tcMar>
                  <w:vAlign w:val="center"/>
                </w:tcPr>
                <w:p>
                  <w:pPr>
                    <w:spacing w:after="0" w:before="0"/>
                    <w:jc w:val="center"/>
                  </w:pPr>
                  <w:r>
                    <w:rPr>
                      <w:rFonts w:ascii="Cambria" w:cs="Cambria" w:eastAsia="Cambria" w:hAnsi="Cambria"/>
                      <w:b/>
                      <w:bCs/>
                      <w:color w:val="0D2B6E"/>
                      <w:sz w:val="52"/>
                      <w:szCs w:val="52"/>
                    </w:rPr>
                    <w:t xml:space="preserve">STFC</w:t>
                  </w:r>
                  <w:r>
                    <w:rPr>
                      <w:rFonts w:ascii="Cambria" w:cs="Cambria" w:eastAsia="Cambria" w:hAnsi="Cambria"/>
                      <w:b/>
                      <w:bCs/>
                      <w:i/>
                      <w:iCs/>
                      <w:color w:val="C9A84C"/>
                      <w:sz w:val="30"/>
                      <w:szCs w:val="30"/>
                    </w:rPr>
                    <w:t xml:space="preserve">  Expertise</w:t>
                  </w:r>
                </w:p>
                <w:p>
                  <w:pPr>
                    <w:spacing w:after="0" w:before="0"/>
                    <w:jc w:val="center"/>
                  </w:pPr>
                  <w:r>
                    <w:rPr>
                      <w:rFonts w:ascii="Calibri" w:cs="Calibri" w:eastAsia="Calibri" w:hAnsi="Calibri"/>
                      <w:b/>
                      <w:bCs/>
                      <w:color w:val="6174A0"/>
                      <w:sz w:val="14"/>
                      <w:szCs w:val="14"/>
                    </w:rPr>
                    <w:t xml:space="preserve">S T R A T   F O C U S   C O N S U L T I N G</w:t>
                  </w:r>
                </w:p>
              </w:tc>
            </w:tr>
          </w:tbl>
          <w:p>
            <w:pPr>
              <w:spacing w:after="0" w:before="100"/>
            </w:pPr>
            <w:r>
              <w:rPr>
                <w:rFonts w:ascii="Calibri" w:cs="Calibri" w:eastAsia="Calibri" w:hAnsi="Calibri"/>
                <w:b/>
                <w:bCs/>
                <w:color w:val="FFFFFF"/>
                <w:sz w:val="16"/>
                <w:szCs w:val="16"/>
              </w:rPr>
              <w:t xml:space="preserve">Stratégie · Performance Commerciale · Marketing d’Innovation</w:t>
            </w:r>
          </w:p>
          <w:p>
            <w:pPr>
              <w:spacing w:after="0" w:before="0"/>
            </w:pPr>
            <w:r>
              <w:rPr>
                <w:rFonts w:ascii="Cambria" w:cs="Cambria" w:eastAsia="Cambria" w:hAnsi="Cambria"/>
                <w:i/>
                <w:iCs/>
                <w:color w:val="C9A84C"/>
                <w:sz w:val="16"/>
                <w:szCs w:val="16"/>
              </w:rPr>
              <w:t xml:space="preserve">Parce que votre chiffre d’affaires compte</w:t>
            </w:r>
          </w:p>
        </w:tc>
        <w:tc>
          <w:tcPr>
            <w:tcW w:type="dxa" w:w="5103"/>
            <w:shd w:fill="0D2B6E" w:color="auto" w:val="clear"/>
            <w:tcMar>
              <w:top w:type="dxa" w:w="160"/>
              <w:left w:type="dxa" w:w="200"/>
              <w:bottom w:type="dxa" w:w="140"/>
              <w:right w:type="dxa" w:w="200"/>
            </w:tcMar>
            <w:vAlign w:val="top"/>
          </w:tcPr>
          <w:tbl>
            <w:tblPr>
              <w:tblW w:type="dxa" w:w="4700"/>
              <w:tblBorders>
                <w:top w:val="single" w:color="9AA6BC" w:sz="4"/>
                <w:left w:val="single" w:color="9AA6BC" w:sz="4"/>
                <w:bottom w:val="single" w:color="9AA6BC" w:sz="4"/>
                <w:right w:val="single" w:color="9AA6BC" w:sz="4"/>
                <w:insideH w:val="single" w:color="9AA6BC" w:sz="4"/>
                <w:insideV w:val="single" w:color="9AA6BC" w:sz="4"/>
              </w:tblBorders>
            </w:tblPr>
            <w:tblGrid>
              <w:gridCol w:w="4700"/>
            </w:tblGrid>
            <w:tr>
              <w:trPr>
                <w:cantSplit/>
                <w:trHeight w:val="1150" w:hRule="atLeast"/>
              </w:trPr>
              <w:tc>
                <w:tcPr>
                  <w:tcW w:type="dxa" w:w="4700"/>
                  <w:shd w:fill="FFFFFF" w:color="auto" w:val="clear"/>
                  <w:tcMar>
                    <w:top w:type="dxa" w:w="120"/>
                    <w:left w:type="dxa" w:w="160"/>
                    <w:bottom w:type="dxa" w:w="120"/>
                    <w:right w:type="dxa" w:w="160"/>
                  </w:tcMar>
                  <w:vAlign w:val="center"/>
                </w:tcPr>
                <w:p>
                  <w:pPr>
                    <w:spacing w:after="40" w:before="0"/>
                    <w:jc w:val="right"/>
                  </w:pPr>
                  <w:r>
                    <w:rPr>
                      <w:rFonts w:ascii="Cambria" w:cs="Cambria" w:eastAsia="Cambria" w:hAnsi="Cambria"/>
                      <w:b/>
                      <w:bCs/>
                      <w:color w:val="0D2B6E"/>
                      <w:sz w:val="26"/>
                      <w:szCs w:val="26"/>
                    </w:rPr>
                    <w:t xml:space="preserve">ACCORD DE CONFIDENTIALITÉ</w:t>
                  </w:r>
                </w:p>
                <w:p>
                  <w:pPr>
                    <w:spacing w:after="0" w:before="0"/>
                    <w:jc w:val="right"/>
                  </w:pPr>
                  <w:r>
                    <w:rPr>
                      <w:rFonts w:ascii="Calibri" w:cs="Calibri" w:eastAsia="Calibri" w:hAnsi="Calibri"/>
                      <w:b/>
                      <w:bCs/>
                      <w:color w:val="7D8698"/>
                      <w:sz w:val="16"/>
                      <w:szCs w:val="16"/>
                    </w:rPr>
                    <w:t xml:space="preserve">N° : </w:t>
                  </w:r>
                  <w:r>
                    <w:rPr>
                      <w:rFonts w:ascii="Calibri" w:cs="Calibri" w:eastAsia="Calibri" w:hAnsi="Calibri"/>
                      <w:b/>
                      <w:bCs/>
                      <w:color w:val="1B2433"/>
                      <w:sz w:val="16"/>
                      <w:szCs w:val="16"/>
                    </w:rPr>
                    <w:t xml:space="preserve">NDA-……/2026</w:t>
                  </w:r>
                </w:p>
                <w:p>
                  <w:pPr>
                    <w:spacing w:after="0" w:before="0"/>
                    <w:jc w:val="right"/>
                  </w:pPr>
                  <w:r>
                    <w:rPr>
                      <w:rFonts w:ascii="Calibri" w:cs="Calibri" w:eastAsia="Calibri" w:hAnsi="Calibri"/>
                      <w:b/>
                      <w:bCs/>
                      <w:color w:val="7D8698"/>
                      <w:sz w:val="16"/>
                      <w:szCs w:val="16"/>
                    </w:rPr>
                    <w:t xml:space="preserve">Date : </w:t>
                  </w:r>
                  <w:r>
                    <w:rPr>
                      <w:rFonts w:ascii="Calibri" w:cs="Calibri" w:eastAsia="Calibri" w:hAnsi="Calibri"/>
                      <w:b/>
                      <w:bCs/>
                      <w:color w:val="1B2433"/>
                      <w:sz w:val="16"/>
                      <w:szCs w:val="16"/>
                    </w:rPr>
                    <w:t xml:space="preserve">……/……/2026</w:t>
                  </w:r>
                </w:p>
              </w:tc>
            </w:tr>
          </w:tbl>
          <w:p/>
        </w:tc>
      </w:tr>
    </w:tbl>
    <w:p>
      <w:pPr>
        <w:spacing w:after="60" w:before="0"/>
      </w:pPr>
      <w:r>
        <w:rPr>
          <w:rFonts w:ascii="Calibri" w:cs="Calibri" w:eastAsia="Calibri" w:hAnsi="Calibri"/>
          <w:color w:val="1B2433"/>
          <w:sz w:val="20"/>
          <w:szCs w:val="20"/>
        </w:rPr>
        <w:t xml:space="preserve"/>
      </w:r>
    </w:p>
    <w:p>
      <w:pPr>
        <w:spacing w:after="60" w:before="0"/>
      </w:pPr>
      <w:r>
        <w:rPr>
          <w:rFonts w:ascii="Calibri" w:cs="Calibri" w:eastAsia="Calibri" w:hAnsi="Calibri"/>
          <w:i/>
          <w:iCs/>
          <w:color w:val="7D8698"/>
          <w:sz w:val="16"/>
          <w:szCs w:val="16"/>
        </w:rPr>
        <w:t xml:space="preserve">Modèle de travail : à faire valider par un juriste ou un conseil inscrit au Congo avant toute utilisation contractuelle.</w:t>
      </w:r>
    </w:p>
    <w:p>
      <w:pPr>
        <w:keepNext/>
        <w:spacing w:after="80" w:before="200"/>
      </w:pPr>
      <w:r>
        <w:rPr>
          <w:rFonts w:ascii="Cambria" w:cs="Cambria" w:eastAsia="Cambria" w:hAnsi="Cambria"/>
          <w:b/>
          <w:bCs/>
          <w:color w:val="C9A84C"/>
          <w:sz w:val="24"/>
          <w:szCs w:val="24"/>
        </w:rPr>
        <w:t xml:space="preserve">1. </w:t>
      </w:r>
      <w:r>
        <w:rPr>
          <w:rFonts w:ascii="Cambria" w:cs="Cambria" w:eastAsia="Cambria" w:hAnsi="Cambria"/>
          <w:b/>
          <w:bCs/>
          <w:color w:val="0D2B6E"/>
          <w:sz w:val="24"/>
          <w:szCs w:val="24"/>
        </w:rPr>
        <w:t xml:space="preserve">Les parties</w:t>
      </w:r>
    </w:p>
    <w:tbl>
      <w:tblPr>
        <w:tblW w:type="dxa" w:w="10206"/>
        <w:tblBorders>
          <w:top w:val="single" w:color="C5CDDC" w:sz="4"/>
          <w:left w:val="single" w:color="C5CDDC" w:sz="4"/>
          <w:bottom w:val="single" w:color="C5CDDC" w:sz="4"/>
          <w:right w:val="single" w:color="C5CDDC" w:sz="4"/>
          <w:insideH w:val="single" w:color="C5CDDC" w:sz="4"/>
          <w:insideV w:val="single" w:color="C5CDDC" w:sz="4"/>
        </w:tblBorders>
      </w:tblPr>
      <w:tblGrid>
        <w:gridCol w:w="2245"/>
        <w:gridCol w:w="2858"/>
        <w:gridCol w:w="2041"/>
        <w:gridCol w:w="3062"/>
      </w:tblGrid>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Partie 1</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STRAT FOCUS CONSULTING, représentée par Rodriguez MOKHASSA, Fondateur</w:t>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Partie 2 (raison sociale)</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Représentée par</w:t>
            </w:r>
          </w:p>
        </w:tc>
        <w:tc>
          <w:tcPr>
            <w:tcW w:type="dxa" w:w="2858"/>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041"/>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Fonction</w:t>
            </w:r>
          </w:p>
        </w:tc>
        <w:tc>
          <w:tcPr>
            <w:tcW w:type="dxa" w:w="3062"/>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RCCM / NIU</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bl>
    <w:p>
      <w:pPr>
        <w:keepNext/>
        <w:spacing w:after="80" w:before="200"/>
      </w:pPr>
      <w:r>
        <w:rPr>
          <w:rFonts w:ascii="Cambria" w:cs="Cambria" w:eastAsia="Cambria" w:hAnsi="Cambria"/>
          <w:b/>
          <w:bCs/>
          <w:color w:val="C9A84C"/>
          <w:sz w:val="24"/>
          <w:szCs w:val="24"/>
        </w:rPr>
        <w:t xml:space="preserve">2. </w:t>
      </w:r>
      <w:r>
        <w:rPr>
          <w:rFonts w:ascii="Cambria" w:cs="Cambria" w:eastAsia="Cambria" w:hAnsi="Cambria"/>
          <w:b/>
          <w:bCs/>
          <w:color w:val="0D2B6E"/>
          <w:sz w:val="24"/>
          <w:szCs w:val="24"/>
        </w:rPr>
        <w:t xml:space="preserve">Contexte</w:t>
      </w:r>
    </w:p>
    <w:p>
      <w:pPr>
        <w:spacing w:after="80" w:before="0"/>
        <w:jc w:val="both"/>
      </w:pPr>
      <w:r>
        <w:rPr>
          <w:rFonts w:ascii="Calibri" w:cs="Calibri" w:eastAsia="Calibri" w:hAnsi="Calibri"/>
          <w:color w:val="1B2433"/>
          <w:sz w:val="19"/>
          <w:szCs w:val="19"/>
        </w:rPr>
        <w:t xml:space="preserve">Dans le cadre de discussions préalables et/ou de la réalisation d’une mission (diagnostic, audit, accompagnement, formation ou transformation digitale), les parties sont amenées à échanger des informations confidentielles. Le présent accord en fixe les conditions de protection.</w:t>
      </w:r>
    </w:p>
    <w:tbl>
      <w:tblPr>
        <w:tblW w:type="dxa" w:w="10206"/>
        <w:tblBorders>
          <w:top w:val="single" w:color="C5CDDC" w:sz="4"/>
          <w:left w:val="single" w:color="C5CDDC" w:sz="4"/>
          <w:bottom w:val="single" w:color="C5CDDC" w:sz="4"/>
          <w:right w:val="single" w:color="C5CDDC" w:sz="4"/>
          <w:insideH w:val="single" w:color="C5CDDC" w:sz="4"/>
          <w:insideV w:val="single" w:color="C5CDDC" w:sz="4"/>
        </w:tblBorders>
      </w:tblPr>
      <w:tblGrid>
        <w:gridCol w:w="2245"/>
        <w:gridCol w:w="2858"/>
        <w:gridCol w:w="2041"/>
        <w:gridCol w:w="3062"/>
      </w:tblGrid>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Projet concerné</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bl>
    <w:p>
      <w:pPr>
        <w:keepNext/>
        <w:spacing w:after="60" w:before="160"/>
      </w:pPr>
      <w:r>
        <w:rPr>
          <w:rFonts w:ascii="Cambria" w:cs="Cambria" w:eastAsia="Cambria" w:hAnsi="Cambria"/>
          <w:b/>
          <w:bCs/>
          <w:color w:val="C9A84C"/>
          <w:sz w:val="21"/>
          <w:szCs w:val="21"/>
        </w:rPr>
        <w:t xml:space="preserve">Article 1 — </w:t>
      </w:r>
      <w:r>
        <w:rPr>
          <w:rFonts w:ascii="Cambria" w:cs="Cambria" w:eastAsia="Cambria" w:hAnsi="Cambria"/>
          <w:b/>
          <w:bCs/>
          <w:color w:val="0D2B6E"/>
          <w:sz w:val="21"/>
          <w:szCs w:val="21"/>
        </w:rPr>
        <w:t xml:space="preserve">Informations confidentielles</w:t>
      </w:r>
    </w:p>
    <w:p>
      <w:pPr>
        <w:spacing w:after="80" w:before="0"/>
        <w:jc w:val="both"/>
      </w:pPr>
      <w:r>
        <w:rPr>
          <w:rFonts w:ascii="Calibri" w:cs="Calibri" w:eastAsia="Calibri" w:hAnsi="Calibri"/>
          <w:color w:val="1B2433"/>
          <w:sz w:val="19"/>
          <w:szCs w:val="19"/>
        </w:rPr>
        <w:t xml:space="preserve">Sont confidentielles toutes les informations, quel qu’en soit le support, communiquées par une partie à l’autre : données financières et commerciales, fichiers clients et prospects, tarifs, marges, stratégies, organisation, données des collaborateurs, accès aux outils informatiques, ainsi que les méthodes et outils de STFC.</w:t>
      </w:r>
    </w:p>
    <w:p>
      <w:pPr>
        <w:keepNext/>
        <w:spacing w:after="60" w:before="160"/>
      </w:pPr>
      <w:r>
        <w:rPr>
          <w:rFonts w:ascii="Cambria" w:cs="Cambria" w:eastAsia="Cambria" w:hAnsi="Cambria"/>
          <w:b/>
          <w:bCs/>
          <w:color w:val="C9A84C"/>
          <w:sz w:val="21"/>
          <w:szCs w:val="21"/>
        </w:rPr>
        <w:t xml:space="preserve">Article 2 — </w:t>
      </w:r>
      <w:r>
        <w:rPr>
          <w:rFonts w:ascii="Cambria" w:cs="Cambria" w:eastAsia="Cambria" w:hAnsi="Cambria"/>
          <w:b/>
          <w:bCs/>
          <w:color w:val="0D2B6E"/>
          <w:sz w:val="21"/>
          <w:szCs w:val="21"/>
        </w:rPr>
        <w:t xml:space="preserve">Engagements</w:t>
      </w:r>
    </w:p>
    <w:p>
      <w:pPr>
        <w:pStyle w:val="ListParagraph"/>
        <w:numPr>
          <w:ilvl w:val="0"/>
          <w:numId w:val="2"/>
        </w:numPr>
        <w:spacing w:after="40" w:before="0"/>
      </w:pPr>
      <w:r>
        <w:rPr>
          <w:rFonts w:ascii="Calibri" w:cs="Calibri" w:eastAsia="Calibri" w:hAnsi="Calibri"/>
          <w:color w:val="1B2433"/>
          <w:sz w:val="19"/>
          <w:szCs w:val="19"/>
        </w:rPr>
        <w:t xml:space="preserve">utiliser les informations uniquement pour les besoins du projet ;</w:t>
      </w:r>
    </w:p>
    <w:p>
      <w:pPr>
        <w:pStyle w:val="ListParagraph"/>
        <w:numPr>
          <w:ilvl w:val="0"/>
          <w:numId w:val="2"/>
        </w:numPr>
        <w:spacing w:after="40" w:before="0"/>
      </w:pPr>
      <w:r>
        <w:rPr>
          <w:rFonts w:ascii="Calibri" w:cs="Calibri" w:eastAsia="Calibri" w:hAnsi="Calibri"/>
          <w:color w:val="1B2433"/>
          <w:sz w:val="19"/>
          <w:szCs w:val="19"/>
        </w:rPr>
        <w:t xml:space="preserve">ne les communiquer qu’aux collaborateurs ayant besoin de les connaître, tenus à la même obligation ;</w:t>
      </w:r>
    </w:p>
    <w:p>
      <w:pPr>
        <w:pStyle w:val="ListParagraph"/>
        <w:numPr>
          <w:ilvl w:val="0"/>
          <w:numId w:val="2"/>
        </w:numPr>
        <w:spacing w:after="40" w:before="0"/>
      </w:pPr>
      <w:r>
        <w:rPr>
          <w:rFonts w:ascii="Calibri" w:cs="Calibri" w:eastAsia="Calibri" w:hAnsi="Calibri"/>
          <w:color w:val="1B2433"/>
          <w:sz w:val="19"/>
          <w:szCs w:val="19"/>
        </w:rPr>
        <w:t xml:space="preserve">prendre toutes mesures raisonnables pour en préserver la sécurité ;</w:t>
      </w:r>
    </w:p>
    <w:p>
      <w:pPr>
        <w:pStyle w:val="ListParagraph"/>
        <w:numPr>
          <w:ilvl w:val="0"/>
          <w:numId w:val="2"/>
        </w:numPr>
        <w:spacing w:after="40" w:before="0"/>
      </w:pPr>
      <w:r>
        <w:rPr>
          <w:rFonts w:ascii="Calibri" w:cs="Calibri" w:eastAsia="Calibri" w:hAnsi="Calibri"/>
          <w:color w:val="1B2433"/>
          <w:sz w:val="19"/>
          <w:szCs w:val="19"/>
        </w:rPr>
        <w:t xml:space="preserve">ne pas les copier ni les reproduire au-delà du nécessaire.</w:t>
      </w:r>
    </w:p>
    <w:p>
      <w:pPr>
        <w:keepNext/>
        <w:spacing w:after="60" w:before="160"/>
      </w:pPr>
      <w:r>
        <w:rPr>
          <w:rFonts w:ascii="Cambria" w:cs="Cambria" w:eastAsia="Cambria" w:hAnsi="Cambria"/>
          <w:b/>
          <w:bCs/>
          <w:color w:val="C9A84C"/>
          <w:sz w:val="21"/>
          <w:szCs w:val="21"/>
        </w:rPr>
        <w:t xml:space="preserve">Article 3 — </w:t>
      </w:r>
      <w:r>
        <w:rPr>
          <w:rFonts w:ascii="Cambria" w:cs="Cambria" w:eastAsia="Cambria" w:hAnsi="Cambria"/>
          <w:b/>
          <w:bCs/>
          <w:color w:val="0D2B6E"/>
          <w:sz w:val="21"/>
          <w:szCs w:val="21"/>
        </w:rPr>
        <w:t xml:space="preserve">Exceptions</w:t>
      </w:r>
    </w:p>
    <w:p>
      <w:pPr>
        <w:spacing w:after="80" w:before="0"/>
        <w:jc w:val="both"/>
      </w:pPr>
      <w:r>
        <w:rPr>
          <w:rFonts w:ascii="Calibri" w:cs="Calibri" w:eastAsia="Calibri" w:hAnsi="Calibri"/>
          <w:color w:val="1B2433"/>
          <w:sz w:val="19"/>
          <w:szCs w:val="19"/>
        </w:rPr>
        <w:t xml:space="preserve">Ne sont pas confidentielles les informations déjà publiques sans faute de la partie qui les reçoit, déjà connues d’elle de manière licite, reçues d’un tiers autorisé, ou dont la divulgation est exigée par la loi ou une autorité judiciaire.</w:t>
      </w:r>
    </w:p>
    <w:p>
      <w:pPr>
        <w:keepNext/>
        <w:spacing w:after="60" w:before="160"/>
      </w:pPr>
      <w:r>
        <w:rPr>
          <w:rFonts w:ascii="Cambria" w:cs="Cambria" w:eastAsia="Cambria" w:hAnsi="Cambria"/>
          <w:b/>
          <w:bCs/>
          <w:color w:val="C9A84C"/>
          <w:sz w:val="21"/>
          <w:szCs w:val="21"/>
        </w:rPr>
        <w:t xml:space="preserve">Article 4 — </w:t>
      </w:r>
      <w:r>
        <w:rPr>
          <w:rFonts w:ascii="Cambria" w:cs="Cambria" w:eastAsia="Cambria" w:hAnsi="Cambria"/>
          <w:b/>
          <w:bCs/>
          <w:color w:val="0D2B6E"/>
          <w:sz w:val="21"/>
          <w:szCs w:val="21"/>
        </w:rPr>
        <w:t xml:space="preserve">Durée</w:t>
      </w:r>
    </w:p>
    <w:p>
      <w:pPr>
        <w:spacing w:after="80" w:before="0"/>
        <w:jc w:val="both"/>
      </w:pPr>
      <w:r>
        <w:rPr>
          <w:rFonts w:ascii="Calibri" w:cs="Calibri" w:eastAsia="Calibri" w:hAnsi="Calibri"/>
          <w:color w:val="1B2433"/>
          <w:sz w:val="19"/>
          <w:szCs w:val="19"/>
        </w:rPr>
        <w:t xml:space="preserve">Le présent accord prend effet à sa signature et reste en vigueur pendant toute la durée des échanges et de la mission, puis pendant deux (2) ans après leur terme.</w:t>
      </w:r>
    </w:p>
    <w:p>
      <w:pPr>
        <w:keepNext/>
        <w:spacing w:after="60" w:before="160"/>
      </w:pPr>
      <w:r>
        <w:rPr>
          <w:rFonts w:ascii="Cambria" w:cs="Cambria" w:eastAsia="Cambria" w:hAnsi="Cambria"/>
          <w:b/>
          <w:bCs/>
          <w:color w:val="C9A84C"/>
          <w:sz w:val="21"/>
          <w:szCs w:val="21"/>
        </w:rPr>
        <w:t xml:space="preserve">Article 5 — </w:t>
      </w:r>
      <w:r>
        <w:rPr>
          <w:rFonts w:ascii="Cambria" w:cs="Cambria" w:eastAsia="Cambria" w:hAnsi="Cambria"/>
          <w:b/>
          <w:bCs/>
          <w:color w:val="0D2B6E"/>
          <w:sz w:val="21"/>
          <w:szCs w:val="21"/>
        </w:rPr>
        <w:t xml:space="preserve">Restitution</w:t>
      </w:r>
    </w:p>
    <w:p>
      <w:pPr>
        <w:spacing w:after="80" w:before="0"/>
        <w:jc w:val="both"/>
      </w:pPr>
      <w:r>
        <w:rPr>
          <w:rFonts w:ascii="Calibri" w:cs="Calibri" w:eastAsia="Calibri" w:hAnsi="Calibri"/>
          <w:color w:val="1B2433"/>
          <w:sz w:val="19"/>
          <w:szCs w:val="19"/>
        </w:rPr>
        <w:t xml:space="preserve">À la fin du projet ou sur simple demande, chaque partie restitue ou détruit les informations confidentielles reçues et leurs copies, à l’exception de celles qu’elle est légalement tenue de conserver.</w:t>
      </w:r>
    </w:p>
    <w:p>
      <w:pPr>
        <w:keepNext/>
        <w:spacing w:after="60" w:before="160"/>
      </w:pPr>
      <w:r>
        <w:rPr>
          <w:rFonts w:ascii="Cambria" w:cs="Cambria" w:eastAsia="Cambria" w:hAnsi="Cambria"/>
          <w:b/>
          <w:bCs/>
          <w:color w:val="C9A84C"/>
          <w:sz w:val="21"/>
          <w:szCs w:val="21"/>
        </w:rPr>
        <w:t xml:space="preserve">Article 6 — </w:t>
      </w:r>
      <w:r>
        <w:rPr>
          <w:rFonts w:ascii="Cambria" w:cs="Cambria" w:eastAsia="Cambria" w:hAnsi="Cambria"/>
          <w:b/>
          <w:bCs/>
          <w:color w:val="0D2B6E"/>
          <w:sz w:val="21"/>
          <w:szCs w:val="21"/>
        </w:rPr>
        <w:t xml:space="preserve">Droit applicable</w:t>
      </w:r>
    </w:p>
    <w:p>
      <w:pPr>
        <w:spacing w:after="80" w:before="0"/>
        <w:jc w:val="both"/>
      </w:pPr>
      <w:r>
        <w:rPr>
          <w:rFonts w:ascii="Calibri" w:cs="Calibri" w:eastAsia="Calibri" w:hAnsi="Calibri"/>
          <w:color w:val="1B2433"/>
          <w:sz w:val="19"/>
          <w:szCs w:val="19"/>
        </w:rPr>
        <w:t xml:space="preserve">Le présent accord est régi par le droit de la République du Congo et les Actes uniformes OHADA. À défaut d’accord amiable, les juridictions de Pointe-Noire sont compétentes.</w:t>
      </w:r>
    </w:p>
    <w:p>
      <w:pPr>
        <w:spacing w:after="100" w:before="120"/>
      </w:pPr>
      <w:r>
        <w:rPr>
          <w:rFonts w:ascii="Calibri" w:cs="Calibri" w:eastAsia="Calibri" w:hAnsi="Calibri"/>
          <w:color w:val="1B2433"/>
          <w:sz w:val="19"/>
          <w:szCs w:val="19"/>
        </w:rPr>
        <w:t xml:space="preserve">Fait à Pointe-Noire, le ……/……/2026, en deux exemplaires originaux.</w:t>
      </w:r>
    </w:p>
    <w:tbl>
      <w:tblPr>
        <w:tblW w:type="dxa" w:w="10206"/>
        <w:tblBorders>
          <w:top w:val="single" w:color="C5CDDC" w:sz="4"/>
          <w:left w:val="single" w:color="C5CDDC" w:sz="4"/>
          <w:bottom w:val="single" w:color="C5CDDC" w:sz="4"/>
          <w:right w:val="single" w:color="C5CDDC" w:sz="4"/>
          <w:insideH w:val="single" w:color="C5CDDC" w:sz="4"/>
          <w:insideV w:val="single" w:color="C5CDDC" w:sz="4"/>
        </w:tblBorders>
      </w:tblPr>
      <w:tblGrid>
        <w:gridCol w:w="5103"/>
        <w:gridCol w:w="5103"/>
      </w:tblGrid>
      <w:tr>
        <w:trPr>
          <w:cantSplit/>
          <w:trHeight w:val="1300" w:hRule="atLeast"/>
        </w:trPr>
        <w:tc>
          <w:tcPr>
            <w:tcW w:type="dxa" w:w="5103"/>
            <w:shd w:fill="EAEEF6" w:color="auto" w:val="clear"/>
            <w:tcMar>
              <w:top w:type="dxa" w:w="60"/>
              <w:left w:type="dxa" w:w="110"/>
              <w:bottom w:type="dxa" w:w="60"/>
              <w:right w:type="dxa" w:w="110"/>
            </w:tcMar>
            <w:vAlign w:val="top"/>
          </w:tcPr>
          <w:p>
            <w:pPr>
              <w:spacing w:after="0" w:before="0"/>
            </w:pPr>
            <w:r>
              <w:rPr>
                <w:rFonts w:ascii="Calibri" w:cs="Calibri" w:eastAsia="Calibri" w:hAnsi="Calibri"/>
                <w:b/>
                <w:bCs/>
                <w:color w:val="0D2B6E"/>
                <w:sz w:val="18"/>
                <w:szCs w:val="18"/>
              </w:rPr>
              <w:t xml:space="preserve">Pour la Partie 2</w:t>
            </w:r>
          </w:p>
          <w:p>
            <w:pPr>
              <w:spacing w:after="0" w:before="0"/>
            </w:pPr>
            <w:r>
              <w:rPr>
                <w:rFonts w:ascii="Calibri" w:cs="Calibri" w:eastAsia="Calibri" w:hAnsi="Calibri"/>
                <w:i/>
                <w:iCs/>
                <w:color w:val="7D8698"/>
                <w:sz w:val="15"/>
                <w:szCs w:val="15"/>
              </w:rPr>
              <w:t xml:space="preserve">Nom, date, signature et cachet</w:t>
            </w:r>
          </w:p>
        </w:tc>
        <w:tc>
          <w:tcPr>
            <w:tcW w:type="dxa" w:w="5103"/>
            <w:shd w:fill="EAEEF6" w:color="auto" w:val="clear"/>
            <w:tcMar>
              <w:top w:type="dxa" w:w="60"/>
              <w:left w:type="dxa" w:w="110"/>
              <w:bottom w:type="dxa" w:w="60"/>
              <w:right w:type="dxa" w:w="110"/>
            </w:tcMar>
            <w:vAlign w:val="top"/>
          </w:tcPr>
          <w:p>
            <w:pPr>
              <w:spacing w:after="0" w:before="0"/>
            </w:pPr>
            <w:r>
              <w:rPr>
                <w:rFonts w:ascii="Calibri" w:cs="Calibri" w:eastAsia="Calibri" w:hAnsi="Calibri"/>
                <w:b/>
                <w:bCs/>
                <w:color w:val="0D2B6E"/>
                <w:sz w:val="18"/>
                <w:szCs w:val="18"/>
              </w:rPr>
              <w:t xml:space="preserve">Pour STRAT FOCUS CONSULTING</w:t>
            </w:r>
          </w:p>
          <w:p>
            <w:pPr>
              <w:spacing w:after="0" w:before="0"/>
            </w:pPr>
            <w:r>
              <w:rPr>
                <w:rFonts w:ascii="Calibri" w:cs="Calibri" w:eastAsia="Calibri" w:hAnsi="Calibri"/>
                <w:i/>
                <w:iCs/>
                <w:color w:val="7D8698"/>
                <w:sz w:val="15"/>
                <w:szCs w:val="15"/>
              </w:rPr>
              <w:t xml:space="preserve">Nom, date, signature et cachet</w:t>
            </w:r>
          </w:p>
        </w:tc>
      </w:tr>
    </w:tbl>
    <w:sectPr>
      <w:headerReference w:type="default" r:id="rId7"/>
      <w:headerReference w:type="first" r:id="rId8"/>
      <w:footerReference w:type="default" r:id="rId9"/>
      <w:footerReference w:type="first" r:id="rId10"/>
      <w:pgSz w:w="11906" w:h="16838" w:orient="portrait"/>
      <w:pgMar w:top="720" w:right="850" w:bottom="1000" w:left="850" w:header="360" w:footer="3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4"/>
      </w:pBdr>
      <w:spacing w:after="0" w:before="0"/>
      <w:jc w:val="center"/>
    </w:pPr>
    <w:r>
      <w:rPr>
        <w:rFonts w:ascii="Calibri" w:cs="Calibri" w:eastAsia="Calibri" w:hAnsi="Calibri"/>
        <w:color w:val="7D8698"/>
        <w:sz w:val="14"/>
        <w:szCs w:val="14"/>
      </w:rPr>
      <w:t xml:space="preserve">STRAT FOCUS CONSULTING — STFC Expertise — République du Congo — RCCM CG-PNR-01-2025-A11-00010 — NIU : [à compléter]</w:t>
    </w:r>
  </w:p>
  <w:p>
    <w:pPr>
      <w:spacing w:after="0" w:before="0"/>
      <w:jc w:val="center"/>
    </w:pPr>
    <w:r>
      <w:rPr>
        <w:rFonts w:ascii="Calibri" w:cs="Calibri" w:eastAsia="Calibri" w:hAnsi="Calibri"/>
        <w:color w:val="7D8698"/>
        <w:sz w:val="14"/>
        <w:szCs w:val="14"/>
      </w:rPr>
      <w:t xml:space="preserve">Zone OCI, 200 m du Parc Culture, Q. MPITA — Pointe-Noire — Tél : 066 000 066 · 06 974 00 88 · 05 077 25 25 — stratfocusconsulting@gmail.com</w:t>
    </w:r>
  </w:p>
  <w:p>
    <w:pPr>
      <w:jc w:val="right"/>
    </w:pPr>
    <w:r>
      <w:rPr>
        <w:rFonts w:ascii="Calibri" w:cs="Calibri" w:eastAsia="Calibri" w:hAnsi="Calibri"/>
        <w:color w:val="7D8698"/>
        <w:sz w:val="14"/>
        <w:szCs w:val="14"/>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4"/>
      </w:pBdr>
      <w:spacing w:after="0" w:before="0"/>
      <w:jc w:val="center"/>
    </w:pPr>
    <w:r>
      <w:rPr>
        <w:rFonts w:ascii="Calibri" w:cs="Calibri" w:eastAsia="Calibri" w:hAnsi="Calibri"/>
        <w:color w:val="7D8698"/>
        <w:sz w:val="14"/>
        <w:szCs w:val="14"/>
      </w:rPr>
      <w:t xml:space="preserve">STRAT FOCUS CONSULTING — STFC Expertise — République du Congo — RCCM CG-PNR-01-2025-A11-00010 — NIU : [à compléter]</w:t>
    </w:r>
  </w:p>
  <w:p>
    <w:pPr>
      <w:spacing w:after="0" w:before="0"/>
      <w:jc w:val="center"/>
    </w:pPr>
    <w:r>
      <w:rPr>
        <w:rFonts w:ascii="Calibri" w:cs="Calibri" w:eastAsia="Calibri" w:hAnsi="Calibri"/>
        <w:color w:val="7D8698"/>
        <w:sz w:val="14"/>
        <w:szCs w:val="14"/>
      </w:rPr>
      <w:t xml:space="preserve">Zone OCI, 200 m du Parc Culture, Q. MPITA — Pointe-Noire — Tél : 066 000 066 · 06 974 00 88 · 05 077 25 25 — stratfocusconsulting@gmail.com</w:t>
    </w:r>
  </w:p>
  <w:p>
    <w:pPr>
      <w:jc w:val="right"/>
    </w:pPr>
    <w:r>
      <w:rPr>
        <w:rFonts w:ascii="Calibri" w:cs="Calibri" w:eastAsia="Calibri" w:hAnsi="Calibri"/>
        <w:color w:val="7D8698"/>
        <w:sz w:val="14"/>
        <w:szCs w:val="14"/>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8" w:space="4"/>
      </w:pBdr>
      <w:spacing w:after="0" w:before="0"/>
      <w:jc w:val="right"/>
    </w:pPr>
    <w:r>
      <w:rPr>
        <w:rFonts w:ascii="Cambria" w:cs="Cambria" w:eastAsia="Cambria" w:hAnsi="Cambria"/>
        <w:b/>
        <w:bCs/>
        <w:color w:val="0D2B6E"/>
        <w:sz w:val="16"/>
        <w:szCs w:val="16"/>
      </w:rPr>
      <w:t xml:space="preserve">STFC Expertise</w:t>
    </w:r>
    <w:r>
      <w:rPr>
        <w:rFonts w:ascii="Calibri" w:cs="Calibri" w:eastAsia="Calibri" w:hAnsi="Calibri"/>
        <w:color w:val="7D8698"/>
        <w:sz w:val="16"/>
        <w:szCs w:val="16"/>
      </w:rPr>
      <w:t xml:space="preserve">  ·  ACCORD DE CONFIDENTIALITÉ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pPr>
    <w:r>
      <w:rPr>
        <w:rFonts w:ascii="Calibri" w:cs="Calibri" w:eastAsia="Calibri" w:hAnsi="Calibri"/>
        <w:color w:val="1B24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C9A84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STFC — ACCORD DE CONFIDENTIALITÉ</dc:title>
  <dc:creator>Strat Focus Consulting</dc:creator>
  <cp:lastModifiedBy>Un-named</cp:lastModifiedBy>
  <cp:revision>1</cp:revision>
  <dcterms:created xsi:type="dcterms:W3CDTF">2026-10-30T23:48:10.449Z</dcterms:created>
  <dcterms:modified xsi:type="dcterms:W3CDTF">2026-10-30T23:48:10.449Z</dcterms:modified>
</cp:coreProperties>
</file>

<file path=docProps/custom.xml><?xml version="1.0" encoding="utf-8"?>
<Properties xmlns="http://schemas.openxmlformats.org/officeDocument/2006/custom-properties" xmlns:vt="http://schemas.openxmlformats.org/officeDocument/2006/docPropsVTypes"/>
</file>