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0D2B6E" w:sz="4"/>
          <w:left w:val="single" w:color="0D2B6E" w:sz="4"/>
          <w:bottom w:val="single" w:color="C9A84C" w:sz="24"/>
          <w:right w:val="single" w:color="0D2B6E" w:sz="4"/>
          <w:insideH w:val="none" w:color="FFFFFF" w:sz="0"/>
          <w:insideV w:val="single" w:color="2E4A86" w:sz="4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52"/>
                      <w:szCs w:val="52"/>
                    </w:rPr>
                    <w:t xml:space="preserve">STFC</w:t>
                  </w:r>
                  <w:r>
                    <w:rPr>
                      <w:rFonts w:ascii="Cambria" w:cs="Cambria" w:eastAsia="Cambria" w:hAnsi="Cambria"/>
                      <w:b/>
                      <w:bCs/>
                      <w:i/>
                      <w:iCs/>
                      <w:color w:val="C9A84C"/>
                      <w:sz w:val="30"/>
                      <w:szCs w:val="30"/>
                    </w:rPr>
                    <w:t xml:space="preserve">  Expertise</w:t>
                  </w:r>
                </w:p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6174A0"/>
                      <w:sz w:val="14"/>
                      <w:szCs w:val="14"/>
                    </w:rPr>
                    <w:t xml:space="preserve">S T R A T   F O C U S   C O N S U L T I N G</w:t>
                  </w:r>
                </w:p>
              </w:tc>
            </w:tr>
          </w:tbl>
          <w:p>
            <w:pPr>
              <w:spacing w:after="0" w:before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Stratégie · Performance Commerciale · Marketing d’Innovation</w:t>
            </w:r>
          </w:p>
          <w:p>
            <w:pPr>
              <w:spacing w:after="0" w:before="0"/>
            </w:pPr>
            <w:r>
              <w:rPr>
                <w:rFonts w:ascii="Cambria" w:cs="Cambria" w:eastAsia="Cambria" w:hAnsi="Cambria"/>
                <w:i/>
                <w:iCs/>
                <w:color w:val="C9A84C"/>
                <w:sz w:val="16"/>
                <w:szCs w:val="16"/>
              </w:rPr>
              <w:t xml:space="preserve">Parce que votre chiffre d’affaires compte</w:t>
            </w:r>
          </w:p>
        </w:tc>
        <w:tc>
          <w:tcPr>
            <w:tcW w:type="dxa" w:w="5103"/>
            <w:shd w:fill="0D2B6E" w:color="auto" w:val="clear"/>
            <w:tcMar>
              <w:top w:type="dxa" w:w="160"/>
              <w:left w:type="dxa" w:w="200"/>
              <w:bottom w:type="dxa" w:w="140"/>
              <w:right w:type="dxa" w:w="200"/>
            </w:tcMar>
            <w:vAlign w:val="top"/>
          </w:tcPr>
          <w:tbl>
            <w:tblPr>
              <w:tblW w:type="dxa" w:w="4700"/>
              <w:tblBorders>
                <w:top w:val="single" w:color="9AA6BC" w:sz="4"/>
                <w:left w:val="single" w:color="9AA6BC" w:sz="4"/>
                <w:bottom w:val="single" w:color="9AA6BC" w:sz="4"/>
                <w:right w:val="single" w:color="9AA6BC" w:sz="4"/>
                <w:insideH w:val="single" w:color="9AA6BC" w:sz="4"/>
                <w:insideV w:val="single" w:color="9AA6BC" w:sz="4"/>
              </w:tblBorders>
            </w:tblPr>
            <w:tblGrid>
              <w:gridCol w:w="4700"/>
            </w:tblGrid>
            <w:tr>
              <w:trPr>
                <w:cantSplit/>
                <w:trHeight w:val="1150" w:hRule="atLeast"/>
              </w:trPr>
              <w:tc>
                <w:tcPr>
                  <w:tcW w:type="dxa" w:w="4700"/>
                  <w:shd w:fill="FFFFFF" w:color="auto" w:val="clear"/>
                  <w:tcMar>
                    <w:top w:type="dxa" w:w="120"/>
                    <w:left w:type="dxa" w:w="160"/>
                    <w:bottom w:type="dxa" w:w="120"/>
                    <w:right w:type="dxa" w:w="160"/>
                  </w:tcMar>
                  <w:vAlign w:val="center"/>
                </w:tcPr>
                <w:p>
                  <w:pPr>
                    <w:spacing w:after="40" w:before="0"/>
                    <w:jc w:val="right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0D2B6E"/>
                      <w:sz w:val="32"/>
                      <w:szCs w:val="32"/>
                    </w:rPr>
                    <w:t xml:space="preserve">GRILLE TARIFAIRE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Édition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Validité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……/……/2026</w:t>
                  </w:r>
                </w:p>
                <w:p>
                  <w:pPr>
                    <w:spacing w:after="0" w:before="0"/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8698"/>
                      <w:sz w:val="16"/>
                      <w:szCs w:val="16"/>
                    </w:rPr>
                    <w:t xml:space="preserve">Usage :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B2433"/>
                      <w:sz w:val="16"/>
                      <w:szCs w:val="16"/>
                    </w:rPr>
                    <w:t xml:space="preserve">Interne / Client</w:t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rPr>
          <w:rFonts w:ascii="Calibri" w:cs="Calibri" w:eastAsia="Calibri" w:hAnsi="Calibri"/>
          <w:color w:val="1B2433"/>
          <w:sz w:val="20"/>
          <w:szCs w:val="20"/>
        </w:rPr>
        <w:t xml:space="preserve"/>
      </w:r>
    </w:p>
    <w:p>
      <w:pPr>
        <w:spacing w:after="80" w:before="0"/>
        <w:jc w:val="both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Tarifs exprimés en FCFA hors taxes (TVA 18 % et centime additionnel de 5 % de la TVA en sus), selon la taille de l’entreprise cliente. Chaque mission fait l’objet d’un devis personnalisé.</w:t>
      </w:r>
    </w:p>
    <w:tbl>
      <w:tblPr>
        <w:tblW w:type="dxa" w:w="10206"/>
        <w:tblBorders>
          <w:top w:val="single" w:color="C5CDDC" w:sz="4"/>
          <w:left w:val="single" w:color="C5CDDC" w:sz="4"/>
          <w:bottom w:val="single" w:color="C5CDDC" w:sz="4"/>
          <w:right w:val="single" w:color="C5CDDC" w:sz="4"/>
          <w:insideH w:val="single" w:color="C5CDDC" w:sz="4"/>
          <w:insideV w:val="single" w:color="C5CDDC" w:sz="4"/>
        </w:tblBorders>
      </w:tblPr>
      <w:tblGrid>
        <w:gridCol w:w="3906"/>
        <w:gridCol w:w="1500"/>
        <w:gridCol w:w="1600"/>
        <w:gridCol w:w="1600"/>
        <w:gridCol w:w="1600"/>
      </w:tblGrid>
      <w:tr>
        <w:trPr>
          <w:cantSplit/>
          <w:trHeight w:val="420" w:hRule="atLeast"/>
        </w:trPr>
        <w:tc>
          <w:tcPr>
            <w:tcW w:type="dxa" w:w="3906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Prestation</w:t>
            </w:r>
          </w:p>
        </w:tc>
        <w:tc>
          <w:tcPr>
            <w:tcW w:type="dxa" w:w="15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Unité</w:t>
            </w:r>
          </w:p>
        </w:tc>
        <w:tc>
          <w:tcPr>
            <w:tcW w:type="dxa" w:w="1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TPE (5 – 20)</w:t>
            </w:r>
          </w:p>
        </w:tc>
        <w:tc>
          <w:tcPr>
            <w:tcW w:type="dxa" w:w="1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PME (21 – 250)</w:t>
            </w:r>
          </w:p>
        </w:tc>
        <w:tc>
          <w:tcPr>
            <w:tcW w:type="dxa" w:w="1600"/>
            <w:shd w:fill="0D2B6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Grande (+ 250)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5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STFC Audit — Comprendre pour mieux repartir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Diagnostic flash (entretien + score de maturité)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Audit commercial et marketing complet (≈ 1 mois)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Restitution stratégique + feuille de route 90 jours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Inclus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5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STFC Croissance — Transformer le potentiel en résultats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Co-construction du Plan d’Action Commerciale (PAC)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Accompagnement du dirigeant et suivi des indicateurs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Mois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Mise en place des tableaux de bord de pilotage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5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STFC Transformation Digitale — La performance s’outille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Diagnostic de maturité digitale + feuille de route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Site internet vitrine professionnel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Site e-commerce / boutique en ligne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Portail d’accès en ligne clients / partenaires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Sélection et paramétrage d’un CRM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Création et optimisation des réseaux sociaux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Community management et campagnes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Mois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Conduite du changement et formation aux outils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Jour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Maintenance et hébergement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Mois / an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10206"/>
            <w:gridSpan w:val="5"/>
            <w:shd w:fill="F7F1DE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0D2B6E"/>
                <w:sz w:val="19"/>
                <w:szCs w:val="19"/>
              </w:rPr>
              <w:t xml:space="preserve">STFC Academy — Le moteur du capital humain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01 — Prospection téléphonique stratégique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02 — Vente stratégique B2B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03 — Dynamique commerciale B2C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04 — L’art du closing et conclusion des ventes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05 — Optimisation du coût d’acquisition client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06 — Customer Lifetime Value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07 — Amélioration continue de l’expérience client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08 — Stratégies de fidélisation et rétention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09 — Ambassadeuriat et partenariats clients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Session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  <w:tr>
        <w:trPr>
          <w:cantSplit/>
          <w:trHeight w:val="380" w:hRule="atLeast"/>
        </w:trPr>
        <w:tc>
          <w:tcPr>
            <w:tcW w:type="dxa" w:w="390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B2433"/>
                <w:sz w:val="18"/>
                <w:szCs w:val="18"/>
              </w:rPr>
              <w:t xml:space="preserve">Parcours complet sur mesure (1 à 3 mois)</w:t>
            </w:r>
          </w:p>
        </w:tc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1B2433"/>
                <w:sz w:val="17"/>
                <w:szCs w:val="17"/>
              </w:rPr>
              <w:t xml:space="preserve">Forfait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  <w:tc>
          <w:tcPr>
            <w:tcW w:type="dxa" w:w="1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7D8698"/>
                <w:sz w:val="17"/>
                <w:szCs w:val="17"/>
              </w:rPr>
              <w:t xml:space="preserve">[……]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C9A84C"/>
          <w:sz w:val="24"/>
          <w:szCs w:val="24"/>
        </w:rPr>
        <w:t xml:space="preserve">1. </w:t>
      </w:r>
      <w:r>
        <w:rPr>
          <w:rFonts w:ascii="Cambria" w:cs="Cambria" w:eastAsia="Cambria" w:hAnsi="Cambria"/>
          <w:b/>
          <w:bCs/>
          <w:color w:val="0D2B6E"/>
          <w:sz w:val="24"/>
          <w:szCs w:val="24"/>
        </w:rPr>
        <w:t xml:space="preserve">Conditions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Frais de déplacement hors Pointe-Noire refacturés au réel ou au forfait indiqué sur le devis.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Licences, abonnements, noms de domaine et hébergements des outils digitaux en sus.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Remise possible pour combinaison de plusieurs offres : [……] %.</w:t>
      </w:r>
    </w:p>
    <w:p>
      <w:pPr>
        <w:pStyle w:val="ListParagraph"/>
        <w:numPr>
          <w:ilvl w:val="0"/>
          <w:numId w:val="2"/>
        </w:numPr>
        <w:spacing w:after="40" w:before="0"/>
      </w:pPr>
      <w:r>
        <w:rPr>
          <w:rFonts w:ascii="Calibri" w:cs="Calibri" w:eastAsia="Calibri" w:hAnsi="Calibri"/>
          <w:color w:val="1B2433"/>
          <w:sz w:val="19"/>
          <w:szCs w:val="19"/>
        </w:rPr>
        <w:t xml:space="preserve">Grille valable jusqu’au ……/……/2026 ; conditions détaillées dans les CGV STFC.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720" w:right="850" w:bottom="1000" w:left="850" w:header="360" w:footer="3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AE3" w:sz="4" w:space="4"/>
      </w:pBd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STRAT FOCUS CONSULTING — STFC Expertise — République du Congo — RCCM CG-PNR-01-2025-A11-00010 — NIU : [à compléter]</w:t>
    </w:r>
  </w:p>
  <w:p>
    <w:pPr>
      <w:spacing w:after="0" w:before="0"/>
      <w:jc w:val="center"/>
    </w:pPr>
    <w:r>
      <w:rPr>
        <w:rFonts w:ascii="Calibri" w:cs="Calibri" w:eastAsia="Calibri" w:hAnsi="Calibri"/>
        <w:color w:val="7D8698"/>
        <w:sz w:val="14"/>
        <w:szCs w:val="14"/>
      </w:rPr>
      <w:t xml:space="preserve">Zone OCI, 200 m du Parc Culture, Q. MPITA — Pointe-Noire — Tél : 066 000 066 · 06 974 00 88 · 05 077 25 25 — stratfocusconsulting@gmail.com</w:t>
    </w:r>
  </w:p>
  <w:p>
    <w:pPr>
      <w:jc w:val="right"/>
    </w:pPr>
    <w:r>
      <w:rPr>
        <w:rFonts w:ascii="Calibri" w:cs="Calibri" w:eastAsia="Calibri" w:hAnsi="Calibri"/>
        <w:color w:val="7D8698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8" w:space="4"/>
      </w:pBdr>
      <w:spacing w:after="0" w:before="0"/>
      <w:jc w:val="right"/>
    </w:pPr>
    <w:r>
      <w:rPr>
        <w:rFonts w:ascii="Cambria" w:cs="Cambria" w:eastAsia="Cambria" w:hAnsi="Cambria"/>
        <w:b/>
        <w:bCs/>
        <w:color w:val="0D2B6E"/>
        <w:sz w:val="16"/>
        <w:szCs w:val="16"/>
      </w:rPr>
      <w:t xml:space="preserve">STFC Expertise</w:t>
    </w:r>
    <w:r>
      <w:rPr>
        <w:rFonts w:ascii="Calibri" w:cs="Calibri" w:eastAsia="Calibri" w:hAnsi="Calibri"/>
        <w:color w:val="7D8698"/>
        <w:sz w:val="16"/>
        <w:szCs w:val="16"/>
      </w:rPr>
      <w:t xml:space="preserve">  ·  GRILLE TARIFAIRE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</w:pPr>
    <w:r>
      <w:rPr>
        <w:rFonts w:ascii="Calibri" w:cs="Calibri" w:eastAsia="Calibri" w:hAnsi="Calibri"/>
        <w:color w:val="1B2433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60"/>
      </w:pPr>
      <w:rPr>
        <w:color w:val="C9A84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433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STFC — GRILLE TARIFAIRE</dc:title>
  <dc:creator>Strat Focus Consulting</dc:creator>
  <cp:lastModifiedBy>Un-named</cp:lastModifiedBy>
  <cp:revision>1</cp:revision>
  <dcterms:created xsi:type="dcterms:W3CDTF">2026-10-30T23:48:10.494Z</dcterms:created>
  <dcterms:modified xsi:type="dcterms:W3CDTF">2026-10-30T23:48:10.494Z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