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0D2B6E" w:sz="4"/>
          <w:left w:val="single" w:color="0D2B6E" w:sz="4"/>
          <w:bottom w:val="single" w:color="C9A84C" w:sz="24"/>
          <w:right w:val="single" w:color="0D2B6E" w:sz="4"/>
          <w:insideH w:val="none" w:color="FFFFFF" w:sz="0"/>
          <w:insideV w:val="single" w:color="2E4A86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52"/>
                      <w:szCs w:val="52"/>
                    </w:rPr>
                    <w:t xml:space="preserve">STFC</w:t>
                  </w: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olor w:val="C9A84C"/>
                      <w:sz w:val="30"/>
                      <w:szCs w:val="30"/>
                    </w:rPr>
                    <w:t xml:space="preserve">  Expertise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174A0"/>
                      <w:sz w:val="14"/>
                      <w:szCs w:val="14"/>
                    </w:rPr>
                    <w:t xml:space="preserve">S T R A T   F O C U S   C O N S U L T I N G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Stratégie · Performance Commerciale · Marketing d’Innovation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i/>
                <w:iCs/>
                <w:color w:val="C9A84C"/>
                <w:sz w:val="16"/>
                <w:szCs w:val="16"/>
              </w:rPr>
              <w:t xml:space="preserve">Parce que votre chiffre d’affaires compte</w:t>
            </w:r>
          </w:p>
        </w:tc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32"/>
                      <w:szCs w:val="32"/>
                    </w:rPr>
                    <w:t xml:space="preserve">DIAGNOSTIC FLASH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Entreprise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……………………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Date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……/……/2026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Consultant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……………………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D8698"/>
          <w:sz w:val="16"/>
          <w:szCs w:val="16"/>
        </w:rPr>
        <w:t xml:space="preserve">Entretien de 30 à 45 minutes avec le dirigeant. Barème : 0 = inexistant · 1 = partiel · 2 = en place · 3 = maîtrisé et suivi.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1.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Entreprise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2245"/>
        <w:gridCol w:w="2858"/>
        <w:gridCol w:w="2041"/>
        <w:gridCol w:w="3062"/>
      </w:tblGrid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Raison sociale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Interlocuteur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Fonction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Secteur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Industrie   ☐ Services à forte valeur ajoutée   ☐ Technologies (Tech)   ☐ Autre : ……………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Effectif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5 – 20   ☐ 21 – 50   ☐ 51 – 250   ☐ 251 – 1 000   ☐ + de 1 000 collaborateurs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Phase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Structuration   ☐ Croissance   ☐ Relance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2.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Grille d’évaluation — 20 affirmations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600"/>
        <w:gridCol w:w="6406"/>
        <w:gridCol w:w="800"/>
        <w:gridCol w:w="800"/>
        <w:gridCol w:w="800"/>
        <w:gridCol w:w="800"/>
      </w:tblGrid>
      <w:tr>
        <w:trPr>
          <w:cantSplit/>
          <w:trHeight w:val="420" w:hRule="atLeast"/>
        </w:trPr>
        <w:tc>
          <w:tcPr>
            <w:tcW w:type="dxa" w:w="6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6406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Affirmation (cocher la note)</w:t>
            </w:r>
          </w:p>
        </w:tc>
        <w:tc>
          <w:tcPr>
            <w:tcW w:type="dxa" w:w="8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</w:tr>
      <w:tr>
        <w:trPr>
          <w:cantSplit/>
          <w:trHeight w:val="380" w:hRule="atLeast"/>
        </w:trPr>
        <w:tc>
          <w:tcPr>
            <w:tcW w:type="dxa" w:w="10206"/>
            <w:gridSpan w:val="6"/>
            <w:shd w:fill="F7F1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D2B6E"/>
                <w:sz w:val="19"/>
                <w:szCs w:val="19"/>
              </w:rPr>
              <w:t xml:space="preserve">Axe 1 — Stratégie et offre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Les cibles de clients prioritaires sont clairement définies.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2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L’offre est différenciée des concurrents et formulée en une phrase.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3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La politique de prix est maîtrisée (marges connues, remises encadrées).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4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Des objectifs de chiffre d’affaires annuels chiffrés existent.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380" w:hRule="atLeast"/>
        </w:trPr>
        <w:tc>
          <w:tcPr>
            <w:tcW w:type="dxa" w:w="10206"/>
            <w:gridSpan w:val="6"/>
            <w:shd w:fill="F7F1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D2B6E"/>
                <w:sz w:val="19"/>
                <w:szCs w:val="19"/>
              </w:rPr>
              <w:t xml:space="preserve">Axe 2 — Organisation commerciale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5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Le processus de vente est formalisé, de la prospection à l’encaissement.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6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Les rôles commerciaux (vente, relance, recouvrement) sont clairement répartis.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7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Un suivi hebdomadaire de l’activité commerciale est réalisé.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8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Le portefeuille clients est segmenté (Pareto, clients clés).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380" w:hRule="atLeast"/>
        </w:trPr>
        <w:tc>
          <w:tcPr>
            <w:tcW w:type="dxa" w:w="10206"/>
            <w:gridSpan w:val="6"/>
            <w:shd w:fill="F7F1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D2B6E"/>
                <w:sz w:val="19"/>
                <w:szCs w:val="19"/>
              </w:rPr>
              <w:t xml:space="preserve">Axe 3 — Force de vente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9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Chaque commercial a des objectifs individuels mesurables.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10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Les commerciaux ont été formés aux techniques de vente au cours des 2 dernières années.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11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Un système de rémunération variable motive la performance.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12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Les compétences de l’équipe sont évaluées régulièrement.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380" w:hRule="atLeast"/>
        </w:trPr>
        <w:tc>
          <w:tcPr>
            <w:tcW w:type="dxa" w:w="10206"/>
            <w:gridSpan w:val="6"/>
            <w:shd w:fill="F7F1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D2B6E"/>
                <w:sz w:val="19"/>
                <w:szCs w:val="19"/>
              </w:rPr>
              <w:t xml:space="preserve">Axe 4 — Marketing et acquisition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13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L’entreprise prospecte de nouveaux clients de façon régulière.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14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Le coût d’acquisition d’un client est connu.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15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Des actions de fidélisation des clients existants sont en place.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16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La satisfaction client est mesurée.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380" w:hRule="atLeast"/>
        </w:trPr>
        <w:tc>
          <w:tcPr>
            <w:tcW w:type="dxa" w:w="10206"/>
            <w:gridSpan w:val="6"/>
            <w:shd w:fill="F7F1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D2B6E"/>
                <w:sz w:val="19"/>
                <w:szCs w:val="19"/>
              </w:rPr>
              <w:t xml:space="preserve">Axe 5 — Digital et outils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17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L’entreprise dispose d’un site internet à jour.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18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Les réseaux sociaux professionnels sont animés régulièrement.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19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Un CRM ou fichier centralisé des clients et prospects est utilisé.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20</w:t>
            </w:r>
          </w:p>
        </w:tc>
        <w:tc>
          <w:tcPr>
            <w:tcW w:type="dxa" w:w="64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Des tableaux de bord commerciaux permettent un pilotage en temps réel.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3.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Synthèse des scores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4206"/>
        <w:gridCol w:w="1500"/>
        <w:gridCol w:w="1500"/>
        <w:gridCol w:w="3000"/>
      </w:tblGrid>
      <w:tr>
        <w:trPr>
          <w:cantSplit/>
          <w:trHeight w:val="400" w:hRule="atLeast"/>
        </w:trPr>
        <w:tc>
          <w:tcPr>
            <w:tcW w:type="dxa" w:w="4206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Axe</w:t>
            </w:r>
          </w:p>
        </w:tc>
        <w:tc>
          <w:tcPr>
            <w:tcW w:type="dxa" w:w="15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15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Sur</w:t>
            </w:r>
          </w:p>
        </w:tc>
        <w:tc>
          <w:tcPr>
            <w:tcW w:type="dxa" w:w="30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Niveau</w:t>
            </w:r>
          </w:p>
        </w:tc>
      </w:tr>
      <w:tr>
        <w:trPr>
          <w:cantSplit/>
          <w:trHeight w:val="380" w:hRule="atLeast"/>
        </w:trPr>
        <w:tc>
          <w:tcPr>
            <w:tcW w:type="dxa" w:w="4206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Stratégie et offre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5"/>
                <w:szCs w:val="15"/>
              </w:rPr>
              <w:t xml:space="preserve">☐ Faible  ☐ Moyen  ☐ Bon</w:t>
            </w:r>
          </w:p>
        </w:tc>
      </w:tr>
      <w:tr>
        <w:trPr>
          <w:cantSplit/>
          <w:trHeight w:val="380" w:hRule="atLeast"/>
        </w:trPr>
        <w:tc>
          <w:tcPr>
            <w:tcW w:type="dxa" w:w="4206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Organisation commerciale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5"/>
                <w:szCs w:val="15"/>
              </w:rPr>
              <w:t xml:space="preserve">☐ Faible  ☐ Moyen  ☐ Bon</w:t>
            </w:r>
          </w:p>
        </w:tc>
      </w:tr>
      <w:tr>
        <w:trPr>
          <w:cantSplit/>
          <w:trHeight w:val="380" w:hRule="atLeast"/>
        </w:trPr>
        <w:tc>
          <w:tcPr>
            <w:tcW w:type="dxa" w:w="4206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Force de vente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5"/>
                <w:szCs w:val="15"/>
              </w:rPr>
              <w:t xml:space="preserve">☐ Faible  ☐ Moyen  ☐ Bon</w:t>
            </w:r>
          </w:p>
        </w:tc>
      </w:tr>
      <w:tr>
        <w:trPr>
          <w:cantSplit/>
          <w:trHeight w:val="380" w:hRule="atLeast"/>
        </w:trPr>
        <w:tc>
          <w:tcPr>
            <w:tcW w:type="dxa" w:w="4206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Marketing et acquisition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5"/>
                <w:szCs w:val="15"/>
              </w:rPr>
              <w:t xml:space="preserve">☐ Faible  ☐ Moyen  ☐ Bon</w:t>
            </w:r>
          </w:p>
        </w:tc>
      </w:tr>
      <w:tr>
        <w:trPr>
          <w:cantSplit/>
          <w:trHeight w:val="380" w:hRule="atLeast"/>
        </w:trPr>
        <w:tc>
          <w:tcPr>
            <w:tcW w:type="dxa" w:w="4206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Digital et outils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5"/>
                <w:szCs w:val="15"/>
              </w:rPr>
              <w:t xml:space="preserve">☐ Faible  ☐ Moyen  ☐ Bon</w:t>
            </w:r>
          </w:p>
        </w:tc>
      </w:tr>
      <w:tr>
        <w:trPr>
          <w:cantSplit/>
          <w:trHeight w:val="400" w:hRule="atLeast"/>
        </w:trPr>
        <w:tc>
          <w:tcPr>
            <w:tcW w:type="dxa" w:w="4206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SCORE GLOBAL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433"/>
                <w:sz w:val="17"/>
                <w:szCs w:val="17"/>
              </w:rPr>
              <w:t xml:space="preserve">60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4.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Lecture du score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2000"/>
        <w:gridCol w:w="3206"/>
        <w:gridCol w:w="5000"/>
      </w:tblGrid>
      <w:tr>
        <w:trPr>
          <w:cantSplit/>
          <w:trHeight w:val="400" w:hRule="atLeast"/>
        </w:trPr>
        <w:tc>
          <w:tcPr>
            <w:tcW w:type="dxa" w:w="20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3206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Maturité</w:t>
            </w:r>
          </w:p>
        </w:tc>
        <w:tc>
          <w:tcPr>
            <w:tcW w:type="dxa" w:w="50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Offre STFC recommandée</w:t>
            </w:r>
          </w:p>
        </w:tc>
      </w:tr>
      <w:tr>
        <w:trPr>
          <w:cantSplit/>
          <w:trHeight w:val="380" w:hRule="atLeast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0 – 20</w:t>
            </w:r>
          </w:p>
        </w:tc>
        <w:tc>
          <w:tcPr>
            <w:tcW w:type="dxa" w:w="32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Fragile — fondations à poser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STFC Audit, puis STFC Croissance</w:t>
            </w:r>
          </w:p>
        </w:tc>
      </w:tr>
      <w:tr>
        <w:trPr>
          <w:cantSplit/>
          <w:trHeight w:val="380" w:hRule="atLeast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21 – 40</w:t>
            </w:r>
          </w:p>
        </w:tc>
        <w:tc>
          <w:tcPr>
            <w:tcW w:type="dxa" w:w="32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En structuration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STFC Croissance + STFC Academy</w:t>
            </w:r>
          </w:p>
        </w:tc>
      </w:tr>
      <w:tr>
        <w:trPr>
          <w:cantSplit/>
          <w:trHeight w:val="380" w:hRule="atLeast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41 – 60</w:t>
            </w:r>
          </w:p>
        </w:tc>
        <w:tc>
          <w:tcPr>
            <w:tcW w:type="dxa" w:w="32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Mature — à accélérer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STFC Transformation Digitale + optimisation</w:t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5.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Recommandation du consultant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13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8698"/>
                <w:sz w:val="16"/>
                <w:szCs w:val="16"/>
              </w:rPr>
              <w:t xml:space="preserve">3 priorités identifiées et offre proposée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5103"/>
        <w:gridCol w:w="5103"/>
      </w:tblGrid>
      <w:tr>
        <w:trPr>
          <w:cantSplit/>
          <w:trHeight w:val="1000" w:hRule="atLeast"/>
        </w:trPr>
        <w:tc>
          <w:tcPr>
            <w:tcW w:type="dxa" w:w="5103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Le dirigeant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8698"/>
                <w:sz w:val="15"/>
                <w:szCs w:val="15"/>
              </w:rPr>
              <w:t xml:space="preserve">Nom, date, signature et cachet</w:t>
            </w:r>
          </w:p>
        </w:tc>
        <w:tc>
          <w:tcPr>
            <w:tcW w:type="dxa" w:w="5103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Le consultant STFC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8698"/>
                <w:sz w:val="15"/>
                <w:szCs w:val="15"/>
              </w:rPr>
              <w:t xml:space="preserve">Nom, date, signature et cachet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720" w:right="850" w:bottom="1000" w:left="850" w:header="360" w:footer="3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8" w:space="4"/>
      </w:pBdr>
      <w:spacing w:after="0" w:before="0"/>
      <w:jc w:val="right"/>
    </w:pPr>
    <w:r>
      <w:rPr>
        <w:rFonts w:ascii="Cambria" w:cs="Cambria" w:eastAsia="Cambria" w:hAnsi="Cambria"/>
        <w:b/>
        <w:bCs/>
        <w:color w:val="0D2B6E"/>
        <w:sz w:val="16"/>
        <w:szCs w:val="16"/>
      </w:rPr>
      <w:t xml:space="preserve">STFC Expertise</w:t>
    </w:r>
    <w:r>
      <w:rPr>
        <w:rFonts w:ascii="Calibri" w:cs="Calibri" w:eastAsia="Calibri" w:hAnsi="Calibri"/>
        <w:color w:val="7D8698"/>
        <w:sz w:val="16"/>
        <w:szCs w:val="16"/>
      </w:rPr>
      <w:t xml:space="preserve">  ·  DIAGNOSTIC FLASH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rPr>
        <w:rFonts w:ascii="Calibri" w:cs="Calibri" w:eastAsia="Calibri" w:hAnsi="Calibri"/>
        <w:color w:val="1B2433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color w:val="C9A84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STFC — DIAGNOSTIC FLASH</dc:title>
  <dc:creator>Strat Focus Consulting</dc:creator>
  <cp:lastModifiedBy>Un-named</cp:lastModifiedBy>
  <cp:revision>1</cp:revision>
  <dcterms:created xsi:type="dcterms:W3CDTF">2026-10-30T23:49:33.364Z</dcterms:created>
  <dcterms:modified xsi:type="dcterms:W3CDTF">2026-10-30T23:49:33.364Z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