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09FDB4" w14:textId="77777777" w:rsidR="00C72825" w:rsidRDefault="00C72825" w:rsidP="00C72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0CAD0" w14:textId="77777777" w:rsidR="00C72825" w:rsidRPr="00C72825" w:rsidRDefault="00C72825" w:rsidP="00C7282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Part I: Thomas Birkland — </w:t>
      </w:r>
      <w:r w:rsidRPr="00C72825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14:ligatures w14:val="none"/>
        </w:rPr>
        <w:t>An Introduction to the Policy Process</w:t>
      </w:r>
      <w:r w:rsidRPr="00C7282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(5th ed.)</w:t>
      </w:r>
    </w:p>
    <w:p w14:paraId="296169CD" w14:textId="77777777" w:rsidR="00C72825" w:rsidRPr="00C72825" w:rsidRDefault="00C72825" w:rsidP="00C7282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Chapter 10: Policy Implementation, Failure, and Learning</w:t>
      </w:r>
    </w:p>
    <w:p w14:paraId="1924A7F4" w14:textId="77777777" w:rsidR="00C72825" w:rsidRPr="00C72825" w:rsidRDefault="00C72825" w:rsidP="00C7282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This chapter examines what occurs after a bill is signed into law—the complex, often contentious phase where statutory mandates are translated into actual administrative practice.</w:t>
      </w:r>
    </w:p>
    <w:p w14:paraId="2E4C043F" w14:textId="77777777" w:rsidR="00C72825" w:rsidRPr="00C72825" w:rsidRDefault="00C72825" w:rsidP="00C7282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The Implementation Gap and "Policy Failure":</w:t>
      </w:r>
    </w:p>
    <w:p w14:paraId="354BBF1A" w14:textId="77777777" w:rsidR="00C72825" w:rsidRPr="00C72825" w:rsidRDefault="00C72825" w:rsidP="00C7282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Enactment does not guarantee execution. Implementation frequently uncovers ambiguity, resource deficits, and inter-organizational conflict that was politically papered over during legislative bargaining.</w:t>
      </w:r>
    </w:p>
    <w:p w14:paraId="35EF1699" w14:textId="77777777" w:rsidR="00C72825" w:rsidRPr="00C72825" w:rsidRDefault="00C72825" w:rsidP="00C7282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 xml:space="preserve">Birkland contrasts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technical failure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(the policy machinery broke down or was underfunded) with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theory failure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(the underlying causal theory was flawed, so even flawless administrative execution could not solve the problem).</w:t>
      </w:r>
    </w:p>
    <w:p w14:paraId="3042B05E" w14:textId="77777777" w:rsidR="00C72825" w:rsidRPr="00C72825" w:rsidRDefault="00C72825" w:rsidP="00C7282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Top-Down vs. Bottom-Up Perspectives:</w:t>
      </w:r>
    </w:p>
    <w:p w14:paraId="0974D640" w14:textId="77777777" w:rsidR="00C72825" w:rsidRPr="00C72825" w:rsidRDefault="00C72825" w:rsidP="00C7282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Top-Down Perspective (e.g., Pressman &amp; Wildavsky, Sabatier &amp; Mazmanian):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Views implementation from the central policymakers' perspective. Focuses on clear statutory objectives, linear chains of command, minimization of veto points, and bureaucratic compliance.</w:t>
      </w:r>
    </w:p>
    <w:p w14:paraId="624C0F65" w14:textId="77777777" w:rsidR="00C72825" w:rsidRPr="00C72825" w:rsidRDefault="00C72825" w:rsidP="00C7282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Bottom-Up Perspective (e.g., Michael Lipsky, Richard Elmore):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Rejects the top-down illusion of control. Focuses on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street-level bureaucrats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(front-line operators like police, caseworkers, teachers) who exercise massive daily discretion, cope with chronic resource constraints, and </w:t>
      </w:r>
      <w:proofErr w:type="gramStart"/>
      <w:r w:rsidRPr="00C72825">
        <w:rPr>
          <w:rFonts w:ascii="Arial" w:eastAsia="Times New Roman" w:hAnsi="Arial" w:cs="Arial"/>
          <w:kern w:val="0"/>
          <w14:ligatures w14:val="none"/>
        </w:rPr>
        <w:t>actually negotiate</w:t>
      </w:r>
      <w:proofErr w:type="gramEnd"/>
      <w:r w:rsidRPr="00C72825">
        <w:rPr>
          <w:rFonts w:ascii="Arial" w:eastAsia="Times New Roman" w:hAnsi="Arial" w:cs="Arial"/>
          <w:kern w:val="0"/>
          <w14:ligatures w14:val="none"/>
        </w:rPr>
        <w:t xml:space="preserve"> policy on the ground.</w:t>
      </w:r>
    </w:p>
    <w:p w14:paraId="1AF76DBC" w14:textId="77777777" w:rsidR="00C72825" w:rsidRPr="00C72825" w:rsidRDefault="00C72825" w:rsidP="00C7282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Synthesis: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Modern scholarship bridges both: top-down statutory design sets formal institutional parameters and resource envelopes, while bottom-up field realities determine actual delivery and compliance.</w:t>
      </w:r>
    </w:p>
    <w:p w14:paraId="2139892F" w14:textId="77777777" w:rsidR="00C72825" w:rsidRPr="00C72825" w:rsidRDefault="00C72825" w:rsidP="00C7282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Policy Learning:</w:t>
      </w:r>
    </w:p>
    <w:p w14:paraId="37509948" w14:textId="77777777" w:rsidR="00C72825" w:rsidRPr="00C72825" w:rsidRDefault="00C72825" w:rsidP="00C7282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How governments and advocacy coalitions adjust over time in response to implementation feedback:</w:t>
      </w:r>
    </w:p>
    <w:p w14:paraId="2A152464" w14:textId="77777777" w:rsidR="00C72825" w:rsidRPr="00C72825" w:rsidRDefault="00C72825" w:rsidP="00C72825">
      <w:pPr>
        <w:numPr>
          <w:ilvl w:val="2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Instrumental policy learning: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Adjusting tools, rules, or operational techniques within an existing policy design.</w:t>
      </w:r>
    </w:p>
    <w:p w14:paraId="0821E3E0" w14:textId="77777777" w:rsidR="00C72825" w:rsidRPr="00C72825" w:rsidRDefault="00C72825" w:rsidP="00C72825">
      <w:pPr>
        <w:numPr>
          <w:ilvl w:val="2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Social policy learning: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Deeper reassessment of the fundamental causal ideas, social constructions, and policy goals.</w:t>
      </w:r>
    </w:p>
    <w:p w14:paraId="172FD029" w14:textId="77777777" w:rsidR="00C72825" w:rsidRPr="00C72825" w:rsidRDefault="00C72825" w:rsidP="00C72825">
      <w:pPr>
        <w:numPr>
          <w:ilvl w:val="2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Political learning: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Coalitions learning how to advocate, frame arguments, and strategically deploy rhetoric more effectively to win political battles.</w:t>
      </w:r>
    </w:p>
    <w:p w14:paraId="205168D2" w14:textId="77777777" w:rsidR="00C72825" w:rsidRPr="00C72825" w:rsidRDefault="00C72825" w:rsidP="00C7282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Chapter 11: Science and Models of the Policy Process</w:t>
      </w:r>
    </w:p>
    <w:p w14:paraId="6E2F1568" w14:textId="77777777" w:rsidR="00C72825" w:rsidRPr="00C72825" w:rsidRDefault="00C72825" w:rsidP="00C7282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lastRenderedPageBreak/>
        <w:t>This chapter evaluates how political scientists move beyond descriptive heuristics to build predictive, falsifiable, and generalizable models of policy dynamics.</w:t>
      </w:r>
    </w:p>
    <w:p w14:paraId="1F551DCF" w14:textId="77777777" w:rsidR="00C72825" w:rsidRPr="00C72825" w:rsidRDefault="00C72825" w:rsidP="00C7282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Moving Beyond the "Stages Heuristic":</w:t>
      </w:r>
    </w:p>
    <w:p w14:paraId="1F655EC0" w14:textId="77777777" w:rsidR="00C72825" w:rsidRPr="00C72825" w:rsidRDefault="00C72825" w:rsidP="00C7282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 xml:space="preserve">The classic "textbook" policy cycle (agenda setting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C72825">
        <w:rPr>
          <w:rFonts w:ascii="Arial" w:eastAsia="Times New Roman" w:hAnsi="Arial" w:cs="Arial"/>
          <w:kern w:val="0"/>
          <w14:ligatures w14:val="none"/>
        </w:rPr>
        <w:t xml:space="preserve"> formulation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C72825">
        <w:rPr>
          <w:rFonts w:ascii="Arial" w:eastAsia="Times New Roman" w:hAnsi="Arial" w:cs="Arial"/>
          <w:kern w:val="0"/>
          <w14:ligatures w14:val="none"/>
        </w:rPr>
        <w:t xml:space="preserve"> legitimation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C72825">
        <w:rPr>
          <w:rFonts w:ascii="Arial" w:eastAsia="Times New Roman" w:hAnsi="Arial" w:cs="Arial"/>
          <w:kern w:val="0"/>
          <w14:ligatures w14:val="none"/>
        </w:rPr>
        <w:t xml:space="preserve"> implementation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C72825">
        <w:rPr>
          <w:rFonts w:ascii="Arial" w:eastAsia="Times New Roman" w:hAnsi="Arial" w:cs="Arial"/>
          <w:kern w:val="0"/>
          <w14:ligatures w14:val="none"/>
        </w:rPr>
        <w:t xml:space="preserve"> evaluation) is a useful descriptive taxonomy, but it is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not a causal theory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. It lacks causal mechanisms, testable hypotheses, and explanatory power regarding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why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policies change.</w:t>
      </w:r>
    </w:p>
    <w:p w14:paraId="0EF0A958" w14:textId="77777777" w:rsidR="00C72825" w:rsidRPr="00C72825" w:rsidRDefault="00C72825" w:rsidP="00C7282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The Five Major Macro-Models of the Policy Process:</w:t>
      </w:r>
    </w:p>
    <w:p w14:paraId="419D5449" w14:textId="77777777" w:rsidR="00C72825" w:rsidRPr="00C72825" w:rsidRDefault="00C72825" w:rsidP="00C72825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Multiple Streams Framework (MSF) (John Kingdon):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Rooted in the "garbage can" model of organizational choice under conditions of ambiguity and bounded rationality. Three independent streams flow through the system: the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problem stream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(indicators, focusing events), the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policy stream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(the "primeval soup" of floating policy ideas), and the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political stream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(public mood, administrative turnover). A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policy window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opens when a focusing event or political shift allows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policy entrepreneurs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to couple the three streams together to enact change.</w:t>
      </w:r>
    </w:p>
    <w:p w14:paraId="4BB73AA7" w14:textId="77777777" w:rsidR="00C72825" w:rsidRPr="00C72825" w:rsidRDefault="00C72825" w:rsidP="00C72825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Punctuated Equilibrium Theory (PET) (Baumgartner &amp; Jones):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Explains why policy systems exhibit long periods of institutional stasis (equilibrium) broken by sudden, massive non-linear shifts (punctuation). Stasis is maintained by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policy monopolies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supported by positive policy images and structural institutional venues. Punctuation occurs through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venue shopping</w:t>
      </w:r>
      <w:r w:rsidRPr="00C72825">
        <w:rPr>
          <w:rFonts w:ascii="Arial" w:eastAsia="Times New Roman" w:hAnsi="Arial" w:cs="Arial"/>
          <w:kern w:val="0"/>
          <w14:ligatures w14:val="none"/>
        </w:rPr>
        <w:t>, negative media framing, and disproportionate information processing by macro-political institutions.</w:t>
      </w:r>
    </w:p>
    <w:p w14:paraId="4F51F31B" w14:textId="77777777" w:rsidR="00C72825" w:rsidRPr="00C72825" w:rsidRDefault="00C72825" w:rsidP="00C72825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Advocacy Coalition Framework (ACF) (Sabatier &amp; Jenkins-Smith):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Focuses on specialized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policy subsystems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operating over long time horizons (a decade or more). Subsystems are populated by competing advocacy coalitions of elected officials, agency staff, interest groups, researchers, and journalists who share a three-tiered belief system: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deep core beliefs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(normative, stable worldviews),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policy core beliefs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(basic policy positions across the subsystem), and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secondary aspects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(instrumental rules, funding allocations). Policy change occurs through policy-oriented learning, external subsystem shocks, or internal crises.</w:t>
      </w:r>
    </w:p>
    <w:p w14:paraId="15E835DE" w14:textId="77777777" w:rsidR="00C72825" w:rsidRPr="00C72825" w:rsidRDefault="00C72825" w:rsidP="00C72825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Institutional Analysis and Development (IAD) (Elinor Ostrom):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A rational-choice institutionalist framework focused on collective action problems, self-governance, and common-pool resources. Analyzes actors within an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action arena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governed by formal and informal rules-in-use (boundary, position, choice, information, and payoff rules) interacting within physical/biophysical conditions and community attributes.</w:t>
      </w:r>
    </w:p>
    <w:p w14:paraId="08673E13" w14:textId="77777777" w:rsidR="00C72825" w:rsidRPr="00C72825" w:rsidRDefault="00C72825" w:rsidP="00C72825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Social Construction of Target Populations (Schneider &amp; Ingram):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Connects policy design directly to democratic citizenship. Shows that policies distribute burdens and benefits according to whether a target group possesses strong or weak political power, and whether they enjoy a </w:t>
      </w:r>
      <w:r w:rsidRPr="00C72825">
        <w:rPr>
          <w:rFonts w:ascii="Arial" w:eastAsia="Times New Roman" w:hAnsi="Arial" w:cs="Arial"/>
          <w:kern w:val="0"/>
          <w14:ligatures w14:val="none"/>
        </w:rPr>
        <w:lastRenderedPageBreak/>
        <w:t xml:space="preserve">positive or negative public social construction (yielding four quadrants: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Advantaged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Contenders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Dependents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Deviants</w:t>
      </w:r>
      <w:r w:rsidRPr="00C72825">
        <w:rPr>
          <w:rFonts w:ascii="Arial" w:eastAsia="Times New Roman" w:hAnsi="Arial" w:cs="Arial"/>
          <w:kern w:val="0"/>
          <w14:ligatures w14:val="none"/>
        </w:rPr>
        <w:t>).</w:t>
      </w:r>
    </w:p>
    <w:p w14:paraId="7BC509C2" w14:textId="77777777" w:rsidR="00C72825" w:rsidRPr="00C72825" w:rsidRDefault="00C72825" w:rsidP="00C7282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Theoretical Pluralism vs. Epistemological Incompatibility:</w:t>
      </w:r>
    </w:p>
    <w:p w14:paraId="511453C8" w14:textId="77777777" w:rsidR="00C72825" w:rsidRPr="00C72825" w:rsidRDefault="00C72825" w:rsidP="00C7282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Can we combine these models? Yes, for practical multi-level inquiry (e.g., using MSF to explain the agenda trigger and ACF to trace the long-term coalition battle).</w:t>
      </w:r>
    </w:p>
    <w:p w14:paraId="13DF06B0" w14:textId="77777777" w:rsidR="00C72825" w:rsidRPr="00C72825" w:rsidRDefault="00C72825" w:rsidP="00C7282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However, combining models requires checking their underlying micro-foundations: you cannot seamlessly combine hyper-rational, game-theoretic maximizing models (pure classical rational choice) with models predicated on fundamental bounded rationality, severe cognitive bias, and organized anarchies (garbage can / MSF) without creating logical contradictions.</w:t>
      </w:r>
    </w:p>
    <w:p w14:paraId="6E10380B" w14:textId="77777777" w:rsidR="00C72825" w:rsidRPr="00C72825" w:rsidRDefault="00C72825" w:rsidP="00C7282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Part II: Deborah Stone — </w:t>
      </w:r>
      <w:r w:rsidRPr="00C72825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14:ligatures w14:val="none"/>
        </w:rPr>
        <w:t>Policy Paradox: The Art of Political Decision Making</w:t>
      </w:r>
      <w:r w:rsidRPr="00C7282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(3rd ed.)</w:t>
      </w:r>
    </w:p>
    <w:p w14:paraId="7F430158" w14:textId="77777777" w:rsidR="00C72825" w:rsidRPr="00C72825" w:rsidRDefault="00C72825" w:rsidP="00C7282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 xml:space="preserve">Stone contrasts two competing visions throughout these chapters: the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Market Model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(where rational, self-interested individuals maximize utility through voluntary exchange) and the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Polis Model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(the political community, where public interest, collective power, social meaning, and symbolic persuasion govern behavior).</w:t>
      </w:r>
    </w:p>
    <w:p w14:paraId="489776D8" w14:textId="77777777" w:rsidR="00C72825" w:rsidRPr="00C72825" w:rsidRDefault="00C72825" w:rsidP="00C7282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Chapter 12: Inducements (Carrots and Sticks)</w:t>
      </w:r>
    </w:p>
    <w:p w14:paraId="75B70944" w14:textId="77777777" w:rsidR="00C72825" w:rsidRPr="00C72825" w:rsidRDefault="00C72825" w:rsidP="00C7282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The Mechanics of Inducements: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Inducements attempt to change human behavior by altering the cost-benefit calculus through rewards (carrots) or penalties (sticks).</w:t>
      </w:r>
    </w:p>
    <w:p w14:paraId="09EB7CE1" w14:textId="77777777" w:rsidR="00C72825" w:rsidRPr="00C72825" w:rsidRDefault="00C72825" w:rsidP="00C7282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The Market Assumption vs. The Polis Reality:</w:t>
      </w:r>
    </w:p>
    <w:p w14:paraId="2A226AED" w14:textId="77777777" w:rsidR="00C72825" w:rsidRPr="00C72825" w:rsidRDefault="00C72825" w:rsidP="00C72825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Market logic: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People are rational, autonomous calculators who predictably choose more reward and less penalty.</w:t>
      </w:r>
    </w:p>
    <w:p w14:paraId="056CDFDE" w14:textId="77777777" w:rsidR="00C72825" w:rsidRPr="00C72825" w:rsidRDefault="00C72825" w:rsidP="00C72825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Polis reality: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Inducements are inherently social, relational, and symbolic. A penalty is not merely an added cost; it conveys moral stigma, social censure, and illegitimacy. A reward can be perceived as an insult, an act of bribery, or an earned entitlement.</w:t>
      </w:r>
    </w:p>
    <w:p w14:paraId="3CD4EBFD" w14:textId="77777777" w:rsidR="00C72825" w:rsidRPr="00C72825" w:rsidRDefault="00C72825" w:rsidP="00C7282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The Giver-Receiver Dynamic &amp; Slippage:</w:t>
      </w:r>
    </w:p>
    <w:p w14:paraId="4F6E266C" w14:textId="77777777" w:rsidR="00C72825" w:rsidRPr="00C72825" w:rsidRDefault="00C72825" w:rsidP="00C72825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Inducements require a giver and a receiver. The giver must possess credible authority and monitoring capacity, while the receiver must value the reward or fear the sanction.</w:t>
      </w:r>
    </w:p>
    <w:p w14:paraId="4FC4CB16" w14:textId="77777777" w:rsidR="00C72825" w:rsidRPr="00C72825" w:rsidRDefault="00C72825" w:rsidP="00C72825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Targeting slippage: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Sanctions often fail because targets develop workarounds, hide non-compliance, absorb fines as a routine "cost of doing business," or retaliate politically.</w:t>
      </w:r>
    </w:p>
    <w:p w14:paraId="4BAFDA44" w14:textId="77777777" w:rsidR="00C72825" w:rsidRPr="00C72825" w:rsidRDefault="00C72825" w:rsidP="00C7282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Chapter 13: Rules</w:t>
      </w:r>
    </w:p>
    <w:p w14:paraId="34554349" w14:textId="77777777" w:rsidR="00C72825" w:rsidRPr="00C72825" w:rsidRDefault="00C72825" w:rsidP="00C7282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The Dual Nature of Rules: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Rules are indirect commands backed by state authority that categorize situations and prescribe conduct.</w:t>
      </w:r>
    </w:p>
    <w:p w14:paraId="46032687" w14:textId="77777777" w:rsidR="00C72825" w:rsidRPr="00C72825" w:rsidRDefault="00C72825" w:rsidP="00C7282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Precision vs. Discretion (The Core Dilemma):</w:t>
      </w:r>
    </w:p>
    <w:p w14:paraId="01E9EF2D" w14:textId="77777777" w:rsidR="00C72825" w:rsidRPr="00C72825" w:rsidRDefault="00C72825" w:rsidP="00C7282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Precise, rigid rules (per se rules):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Maximize predictability, consistency, and uniform application across cases; however, they produce gross substantive injustice when unique, context-specific edge cases arise (inflexibility and absurd outcomes).</w:t>
      </w:r>
    </w:p>
    <w:p w14:paraId="06893491" w14:textId="77777777" w:rsidR="00C72825" w:rsidRPr="00C72825" w:rsidRDefault="00C72825" w:rsidP="00C7282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Vague, discretionary rules (flexible standards):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Allow street-level administrators and judges to tailor solutions to specific real-world circumstances; however, they open the door to arbitrary power, prejudice, corruption, and disparate treatment.</w:t>
      </w:r>
    </w:p>
    <w:p w14:paraId="58B26064" w14:textId="77777777" w:rsidR="00C72825" w:rsidRPr="00C72825" w:rsidRDefault="00C72825" w:rsidP="00C7282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Rules as Social Constructions: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Rules never speak for themselves. The meaning of a rule is perpetually contested, negotiated, and socially constructed through ongoing administrative interpretation and street-level implementation.</w:t>
      </w:r>
    </w:p>
    <w:p w14:paraId="4E28B243" w14:textId="77777777" w:rsidR="00C72825" w:rsidRPr="00C72825" w:rsidRDefault="00C72825" w:rsidP="00C7282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Chapter 14: Facts</w:t>
      </w:r>
    </w:p>
    <w:p w14:paraId="0A4B8C02" w14:textId="77777777" w:rsidR="00C72825" w:rsidRPr="00C72825" w:rsidRDefault="00C72825" w:rsidP="00C7282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The Illusion of Neutral Facts: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In the rationalist model, facts and scientific evidence are treated as objective, neutral truths that settle policy debates.</w:t>
      </w:r>
    </w:p>
    <w:p w14:paraId="0F46F023" w14:textId="77777777" w:rsidR="00C72825" w:rsidRPr="00C72825" w:rsidRDefault="00C72825" w:rsidP="00C7282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Facts as Political Weapons: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In the polis, facts do not exist independently of political framing. Information is actively produced, suppressed, framed, and strategically released to build support for favored causal stories.</w:t>
      </w:r>
    </w:p>
    <w:p w14:paraId="2F77262A" w14:textId="77777777" w:rsidR="00C72825" w:rsidRPr="00C72825" w:rsidRDefault="00C72825" w:rsidP="00C7282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Measurement and Categories: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Categorizing and counting are political acts. Deciding what counts as an "unemployed person," a "poverty-level income," or an "adverse event" determines who qualifies for government resources and who is ignored. Measuring a phenomenon automatically alters behavior, as actors learn to "game the metrics."</w:t>
      </w:r>
    </w:p>
    <w:p w14:paraId="08FFDC9F" w14:textId="77777777" w:rsidR="00C72825" w:rsidRPr="00C72825" w:rsidRDefault="00C72825" w:rsidP="00C7282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Chapter 15: Rights</w:t>
      </w:r>
    </w:p>
    <w:p w14:paraId="5ABF7E8D" w14:textId="77777777" w:rsidR="00C72825" w:rsidRPr="00C72825" w:rsidRDefault="00C72825" w:rsidP="00C7282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Positive Rights vs. Normative Rights:</w:t>
      </w:r>
    </w:p>
    <w:p w14:paraId="7F66C94D" w14:textId="77777777" w:rsidR="00C72825" w:rsidRPr="00C72825" w:rsidRDefault="00C72825" w:rsidP="00C72825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Positive rights: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Legal rights explicitly codified in statutes, constitutions, or court precedents, enforceable through government sanction.</w:t>
      </w:r>
    </w:p>
    <w:p w14:paraId="25458643" w14:textId="77777777" w:rsidR="00C72825" w:rsidRPr="00C72825" w:rsidRDefault="00C72825" w:rsidP="00C72825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Normative rights: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Moral claims about what human beings are inherently owed by society (human rights, dignity, fairness), regardless of whether codified in current statutory law.</w:t>
      </w:r>
    </w:p>
    <w:p w14:paraId="773C7268" w14:textId="77777777" w:rsidR="00C72825" w:rsidRPr="00C72825" w:rsidRDefault="00C72825" w:rsidP="00C7282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The Myth of the Passive Right:</w:t>
      </w:r>
    </w:p>
    <w:p w14:paraId="64FDF737" w14:textId="77777777" w:rsidR="00C72825" w:rsidRPr="00C72825" w:rsidRDefault="00C72825" w:rsidP="00C72825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Rights are not self-enforcing properties that individuals simply "have." A right is a dynamic social and political relationship. A legal right is powerless unless a claimant possesses the resources, legal counsel, institutional access, and social courage to assert it against resistance.</w:t>
      </w:r>
    </w:p>
    <w:p w14:paraId="7E01E77F" w14:textId="77777777" w:rsidR="00C72825" w:rsidRPr="00C72825" w:rsidRDefault="00C72825" w:rsidP="00C7282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Courts vs. Legislatures:</w:t>
      </w:r>
    </w:p>
    <w:p w14:paraId="2A1AF045" w14:textId="77777777" w:rsidR="00C72825" w:rsidRPr="00C72825" w:rsidRDefault="00C72825" w:rsidP="00C72825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Mobilizing rights through the judicial system provides an alternative access venue for politically marginalized groups who lack the legislative majorities needed to pass statutory reforms.</w:t>
      </w:r>
    </w:p>
    <w:p w14:paraId="668047BA" w14:textId="77777777" w:rsidR="00C72825" w:rsidRPr="00C72825" w:rsidRDefault="00C72825" w:rsidP="00C7282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Chapter 16: Powers</w:t>
      </w:r>
    </w:p>
    <w:p w14:paraId="624CA168" w14:textId="77777777" w:rsidR="00C72825" w:rsidRPr="00C72825" w:rsidRDefault="00C72825" w:rsidP="00C72825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Redefining Power in the Polis:</w:t>
      </w:r>
    </w:p>
    <w:p w14:paraId="30D8EFC5" w14:textId="77777777" w:rsidR="00C72825" w:rsidRPr="00C72825" w:rsidRDefault="00C72825" w:rsidP="00C72825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In classic political science and market models, power is often viewed narrowly as coercion, formal statutory authority, or zero-sum force (A getting B to do something B would not otherwise do).</w:t>
      </w:r>
    </w:p>
    <w:p w14:paraId="0D731C01" w14:textId="77777777" w:rsidR="00C72825" w:rsidRPr="00C72825" w:rsidRDefault="00C72825" w:rsidP="00C72825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Stone presents a multi-dimensional, discursive view: power in the polis is the capacity to define social reality, control alternatives, set agendas, and shape what others believe is natural, inevitable, or possible.</w:t>
      </w:r>
    </w:p>
    <w:p w14:paraId="14061820" w14:textId="77777777" w:rsidR="00C72825" w:rsidRPr="00C72825" w:rsidRDefault="00C72825" w:rsidP="00C72825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Structural and Discursive Power:</w:t>
      </w:r>
    </w:p>
    <w:p w14:paraId="48D83B39" w14:textId="77777777" w:rsidR="00C72825" w:rsidRPr="00C72825" w:rsidRDefault="00C72825" w:rsidP="00C72825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The most potent form of power is not winning overt political clashes; it is the subtle, structural power that prevents conflicts from arising in the first place by keeping threatening alternatives off the public agenda.</w:t>
      </w:r>
    </w:p>
    <w:p w14:paraId="2A64CB02" w14:textId="77777777" w:rsidR="00C72825" w:rsidRPr="00C72825" w:rsidRDefault="00C72825" w:rsidP="00C72825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>Power operates by controlling categories, defining who is an "expert," deciding whose claims are viewed as rational or emotional, and granting legitimacy to certain voices while disqualifying others.</w:t>
      </w:r>
    </w:p>
    <w:p w14:paraId="77CCC245" w14:textId="77777777" w:rsidR="00C72825" w:rsidRPr="00C72825" w:rsidRDefault="00C72825" w:rsidP="00C7282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Key Connections to Keep in Mind for Your Assignment</w:t>
      </w:r>
    </w:p>
    <w:p w14:paraId="0545DA44" w14:textId="77777777" w:rsidR="00C72825" w:rsidRPr="00C72825" w:rsidRDefault="00C72825" w:rsidP="00C7282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For Part 1 (Borrowing and Combining Theories):</w:t>
      </w:r>
    </w:p>
    <w:p w14:paraId="63D3064B" w14:textId="77777777" w:rsidR="00C72825" w:rsidRPr="00C72825" w:rsidRDefault="00C72825" w:rsidP="00C72825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Borrowing logic: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Notice how Kingdon's MSF (agenda setting), Baumgartner &amp; Jones's PET (institutional venues/monopolies), and Sabatier's ACF (long-term belief coalitions) naturally fit together to explain a single policy trajectory across time.</w:t>
      </w:r>
    </w:p>
    <w:p w14:paraId="31A54FCD" w14:textId="77777777" w:rsidR="00C72825" w:rsidRPr="00C72825" w:rsidRDefault="00C72825" w:rsidP="00C72825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i/>
          <w:iCs/>
          <w:kern w:val="0"/>
          <w14:ligatures w14:val="none"/>
        </w:rPr>
        <w:t>Incompatibility risk: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Pay close attention to the micro-foundations of human agency. Ostrom’s IAD leans on rational-choice rule optimization, whereas MSF relies heavily on the "garbage can" model of ambiguity and serendipitous coupling.</w:t>
      </w:r>
    </w:p>
    <w:p w14:paraId="2DF33C2C" w14:textId="77777777" w:rsidR="00C72825" w:rsidRPr="00C72825" w:rsidRDefault="00C72825" w:rsidP="00C7282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For Part 2 (Stone's Rights/Power linked to Birkland):</w:t>
      </w:r>
    </w:p>
    <w:p w14:paraId="67582F83" w14:textId="77777777" w:rsidR="00C72825" w:rsidRPr="00C72825" w:rsidRDefault="00C72825" w:rsidP="00C72825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 xml:space="preserve">Stone's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Rights (Ch. 15)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connects directly to the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Advocacy Coalition Framework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(coalitions using legal venue shopping to protect core beliefs) and the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Social Construction of Target Populations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(advantaged groups enjoy robust legal rights, while deviants/dependents find their rights curtailed or conditional).</w:t>
      </w:r>
    </w:p>
    <w:p w14:paraId="3D239207" w14:textId="77777777" w:rsidR="00C72825" w:rsidRPr="00C72825" w:rsidRDefault="00C72825" w:rsidP="00C72825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 xml:space="preserve">Stone's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Power (Ch. 16)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connects to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Policy Monopolies in PET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(controlling the policy venue and image) and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Social Construction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(power embedded in institutional categories and public legitimacy).</w:t>
      </w:r>
    </w:p>
    <w:p w14:paraId="18A5DD6E" w14:textId="77777777" w:rsidR="00C72825" w:rsidRPr="00C72825" w:rsidRDefault="00C72825" w:rsidP="00C7282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For Part 3 (Empirical vs. Anecdotal Evidence):</w:t>
      </w:r>
    </w:p>
    <w:p w14:paraId="2E2C71FF" w14:textId="77777777" w:rsidR="00C72825" w:rsidRPr="00C72825" w:rsidRDefault="00C72825" w:rsidP="00C72825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72825">
        <w:rPr>
          <w:rFonts w:ascii="Arial" w:eastAsia="Times New Roman" w:hAnsi="Arial" w:cs="Arial"/>
          <w:kern w:val="0"/>
          <w14:ligatures w14:val="none"/>
        </w:rPr>
        <w:t xml:space="preserve">Review Stone’s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Facts (Ch. 14)</w:t>
      </w:r>
      <w:r w:rsidRPr="00C72825">
        <w:rPr>
          <w:rFonts w:ascii="Arial" w:eastAsia="Times New Roman" w:hAnsi="Arial" w:cs="Arial"/>
          <w:kern w:val="0"/>
          <w14:ligatures w14:val="none"/>
        </w:rPr>
        <w:t xml:space="preserve"> and Birkland’s </w:t>
      </w:r>
      <w:r w:rsidRPr="00C72825">
        <w:rPr>
          <w:rFonts w:ascii="Arial" w:eastAsia="Times New Roman" w:hAnsi="Arial" w:cs="Arial"/>
          <w:b/>
          <w:bCs/>
          <w:kern w:val="0"/>
          <w14:ligatures w14:val="none"/>
        </w:rPr>
        <w:t>Focusing Events (Ch. 10 &amp; 11)</w:t>
      </w:r>
      <w:r w:rsidRPr="00C72825">
        <w:rPr>
          <w:rFonts w:ascii="Arial" w:eastAsia="Times New Roman" w:hAnsi="Arial" w:cs="Arial"/>
          <w:kern w:val="0"/>
          <w14:ligatures w14:val="none"/>
        </w:rPr>
        <w:t>. Empirical data provides statistical generalizability and counterfactual rigor, but narrative anecdotes provide the emotional salience, moral clarity, and causal blame necessary to mobilize public coalitions and open policy windows.</w:t>
      </w:r>
    </w:p>
    <w:p w14:paraId="6D6B27F8" w14:textId="77777777" w:rsidR="00C72825" w:rsidRPr="00C72825" w:rsidRDefault="00C72825" w:rsidP="00C72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4243B" w14:textId="51774ABC" w:rsidR="003D635B" w:rsidRDefault="003D635B" w:rsidP="003D635B"/>
    <w:sectPr w:rsidR="003D6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5D45D5"/>
    <w:multiLevelType w:val="multilevel"/>
    <w:tmpl w:val="9AA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1653"/>
    <w:multiLevelType w:val="multilevel"/>
    <w:tmpl w:val="4BC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26C41"/>
    <w:multiLevelType w:val="multilevel"/>
    <w:tmpl w:val="9BDC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71F3A"/>
    <w:multiLevelType w:val="multilevel"/>
    <w:tmpl w:val="630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A7B77"/>
    <w:multiLevelType w:val="multilevel"/>
    <w:tmpl w:val="9DAE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E201F"/>
    <w:multiLevelType w:val="multilevel"/>
    <w:tmpl w:val="091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B55EA"/>
    <w:multiLevelType w:val="multilevel"/>
    <w:tmpl w:val="8D5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32418"/>
    <w:multiLevelType w:val="multilevel"/>
    <w:tmpl w:val="E0A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335E3"/>
    <w:multiLevelType w:val="multilevel"/>
    <w:tmpl w:val="2C4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F216A"/>
    <w:multiLevelType w:val="hybridMultilevel"/>
    <w:tmpl w:val="0F626B1E"/>
    <w:lvl w:ilvl="0" w:tplc="D938BC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3E439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DA19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D3270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B8C00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B1A2B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E7022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640B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D0D4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45788"/>
    <w:multiLevelType w:val="multilevel"/>
    <w:tmpl w:val="85660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472343">
    <w:abstractNumId w:val="10"/>
  </w:num>
  <w:num w:numId="2" w16cid:durableId="1392925982">
    <w:abstractNumId w:val="1"/>
  </w:num>
  <w:num w:numId="3" w16cid:durableId="926571113">
    <w:abstractNumId w:val="0"/>
  </w:num>
  <w:num w:numId="4" w16cid:durableId="1047879820">
    <w:abstractNumId w:val="2"/>
  </w:num>
  <w:num w:numId="5" w16cid:durableId="1920627167">
    <w:abstractNumId w:val="9"/>
  </w:num>
  <w:num w:numId="6" w16cid:durableId="1820340382">
    <w:abstractNumId w:val="4"/>
  </w:num>
  <w:num w:numId="7" w16cid:durableId="1075468436">
    <w:abstractNumId w:val="6"/>
  </w:num>
  <w:num w:numId="8" w16cid:durableId="984162421">
    <w:abstractNumId w:val="7"/>
  </w:num>
  <w:num w:numId="9" w16cid:durableId="1780711414">
    <w:abstractNumId w:val="8"/>
  </w:num>
  <w:num w:numId="10" w16cid:durableId="1138575152">
    <w:abstractNumId w:val="5"/>
  </w:num>
  <w:num w:numId="11" w16cid:durableId="83696066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25"/>
    <w:rsid w:val="0003316C"/>
    <w:rsid w:val="00064227"/>
    <w:rsid w:val="003946B8"/>
    <w:rsid w:val="003D635B"/>
    <w:rsid w:val="004C47CF"/>
    <w:rsid w:val="004E7E18"/>
    <w:rsid w:val="00705F4E"/>
    <w:rsid w:val="008C1E49"/>
    <w:rsid w:val="009D6342"/>
    <w:rsid w:val="00C72825"/>
    <w:rsid w:val="00C9483F"/>
    <w:rsid w:val="00CF3F7E"/>
    <w:rsid w:val="00E07B6E"/>
    <w:rsid w:val="00EF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0224B"/>
  <w15:chartTrackingRefBased/>
  <w15:docId w15:val="{2ADC3F90-F7A6-D648-88D1-E2DE0803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2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2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Jones</dc:creator>
  <cp:keywords/>
  <dc:description/>
  <cp:lastModifiedBy>Ellen Jones</cp:lastModifiedBy>
  <cp:revision>1</cp:revision>
  <dcterms:created xsi:type="dcterms:W3CDTF">2026-10-15T15:13:00Z</dcterms:created>
  <dcterms:modified xsi:type="dcterms:W3CDTF">2026-10-15T19:58:00Z</dcterms:modified>
</cp:coreProperties>
</file>