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84D79" w14:textId="77777777" w:rsidR="008A7EF5" w:rsidRDefault="008A7EF5" w:rsidP="008A7EF5">
      <w:pPr>
        <w:spacing w:after="0" w:line="240" w:lineRule="auto"/>
        <w:jc w:val="center"/>
        <w:rPr>
          <w:b/>
          <w:bCs/>
        </w:rPr>
      </w:pPr>
    </w:p>
    <w:p w14:paraId="5FC108BA" w14:textId="77777777" w:rsidR="008A7EF5" w:rsidRDefault="008A7EF5" w:rsidP="008A7EF5">
      <w:pPr>
        <w:spacing w:after="0" w:line="240" w:lineRule="auto"/>
        <w:jc w:val="center"/>
        <w:rPr>
          <w:b/>
          <w:bCs/>
        </w:rPr>
      </w:pPr>
    </w:p>
    <w:p w14:paraId="0B78A562" w14:textId="77777777" w:rsidR="008A7EF5" w:rsidRDefault="008A7EF5" w:rsidP="008A7EF5">
      <w:pPr>
        <w:spacing w:after="0" w:line="240" w:lineRule="auto"/>
        <w:jc w:val="center"/>
        <w:rPr>
          <w:b/>
          <w:bCs/>
        </w:rPr>
      </w:pPr>
    </w:p>
    <w:p w14:paraId="2E6D63F7" w14:textId="4514FF2F" w:rsidR="008A7EF5" w:rsidRPr="00E76D6C" w:rsidRDefault="00C360CB" w:rsidP="008A7EF5">
      <w:pPr>
        <w:spacing w:after="0" w:line="240" w:lineRule="auto"/>
        <w:jc w:val="center"/>
        <w:rPr>
          <w:b/>
          <w:bCs/>
        </w:rPr>
      </w:pPr>
      <w:r>
        <w:rPr>
          <w:b/>
          <w:bCs/>
        </w:rPr>
        <w:t>A Critical Book Review: James Q. Wilson’s Bureaucracy</w:t>
      </w:r>
      <w:r w:rsidR="00F0368A">
        <w:rPr>
          <w:b/>
          <w:bCs/>
        </w:rPr>
        <w:t>:</w:t>
      </w:r>
      <w:r w:rsidR="00F0368A">
        <w:rPr>
          <w:b/>
          <w:bCs/>
        </w:rPr>
        <w:br/>
        <w:t>What Government Agencies Do and Why They Do It</w:t>
      </w:r>
    </w:p>
    <w:p w14:paraId="35A0B985" w14:textId="77777777" w:rsidR="008A7EF5" w:rsidRDefault="008A7EF5" w:rsidP="008A7EF5">
      <w:pPr>
        <w:spacing w:after="0" w:line="240" w:lineRule="auto"/>
        <w:jc w:val="center"/>
      </w:pPr>
    </w:p>
    <w:p w14:paraId="71FA0565" w14:textId="77777777" w:rsidR="008A7EF5" w:rsidRDefault="008A7EF5" w:rsidP="008A7EF5">
      <w:pPr>
        <w:spacing w:after="0" w:line="240" w:lineRule="auto"/>
        <w:jc w:val="center"/>
      </w:pPr>
    </w:p>
    <w:p w14:paraId="1FADEAFB" w14:textId="77777777" w:rsidR="008A7EF5" w:rsidRDefault="008A7EF5" w:rsidP="008A7EF5">
      <w:pPr>
        <w:spacing w:after="0" w:line="240" w:lineRule="auto"/>
        <w:jc w:val="center"/>
      </w:pPr>
      <w:r>
        <w:t>Martin A. Perez Rodriguez</w:t>
      </w:r>
    </w:p>
    <w:p w14:paraId="6E1C5940" w14:textId="77777777" w:rsidR="008A7EF5" w:rsidRDefault="008A7EF5" w:rsidP="008A7EF5">
      <w:pPr>
        <w:spacing w:after="0" w:line="240" w:lineRule="auto"/>
        <w:jc w:val="center"/>
      </w:pPr>
    </w:p>
    <w:p w14:paraId="5098E3AF" w14:textId="77777777" w:rsidR="008A7EF5" w:rsidRDefault="008A7EF5" w:rsidP="008A7EF5">
      <w:pPr>
        <w:spacing w:after="0" w:line="240" w:lineRule="auto"/>
        <w:jc w:val="center"/>
      </w:pPr>
      <w:r>
        <w:t>Department of Public Policy, Liberty University</w:t>
      </w:r>
    </w:p>
    <w:p w14:paraId="14639F19" w14:textId="77777777" w:rsidR="008A7EF5" w:rsidRDefault="008A7EF5" w:rsidP="008A7EF5">
      <w:pPr>
        <w:spacing w:after="0" w:line="240" w:lineRule="auto"/>
        <w:jc w:val="center"/>
      </w:pPr>
    </w:p>
    <w:p w14:paraId="4CDB327C" w14:textId="77777777" w:rsidR="008A7EF5" w:rsidRDefault="008A7EF5" w:rsidP="008A7EF5">
      <w:pPr>
        <w:spacing w:after="0" w:line="240" w:lineRule="auto"/>
        <w:jc w:val="center"/>
      </w:pPr>
      <w:r>
        <w:t>PLCY 700: Foundations of Public Policy</w:t>
      </w:r>
    </w:p>
    <w:p w14:paraId="102CA5ED" w14:textId="77777777" w:rsidR="008A7EF5" w:rsidRDefault="008A7EF5" w:rsidP="008A7EF5">
      <w:pPr>
        <w:spacing w:after="0" w:line="240" w:lineRule="auto"/>
        <w:jc w:val="center"/>
      </w:pPr>
    </w:p>
    <w:p w14:paraId="1BE637A3" w14:textId="77777777" w:rsidR="008A7EF5" w:rsidRDefault="008A7EF5" w:rsidP="008A7EF5">
      <w:pPr>
        <w:spacing w:after="0" w:line="240" w:lineRule="auto"/>
        <w:jc w:val="center"/>
      </w:pPr>
      <w:r>
        <w:t xml:space="preserve">Dr. </w:t>
      </w:r>
      <w:r w:rsidRPr="00A95105">
        <w:t>Scott Boykin</w:t>
      </w:r>
    </w:p>
    <w:p w14:paraId="69F12714" w14:textId="77777777" w:rsidR="008A7EF5" w:rsidRDefault="008A7EF5" w:rsidP="008A7EF5">
      <w:pPr>
        <w:spacing w:after="0" w:line="240" w:lineRule="auto"/>
        <w:jc w:val="center"/>
      </w:pPr>
    </w:p>
    <w:p w14:paraId="63751350" w14:textId="7E08B399" w:rsidR="008A7EF5" w:rsidRDefault="008A7EF5" w:rsidP="008A7EF5">
      <w:pPr>
        <w:spacing w:after="0" w:line="240" w:lineRule="auto"/>
        <w:jc w:val="center"/>
        <w:rPr>
          <w:rFonts w:ascii="Arial" w:eastAsia="Times New Roman" w:hAnsi="Arial" w:cs="Arial"/>
          <w:color w:val="000000"/>
          <w:kern w:val="0"/>
          <w:sz w:val="22"/>
          <w:szCs w:val="22"/>
          <w14:ligatures w14:val="none"/>
        </w:rPr>
      </w:pPr>
      <w:r>
        <w:t>October</w:t>
      </w:r>
      <w:r>
        <w:t xml:space="preserve"> </w:t>
      </w:r>
      <w:r>
        <w:t>5</w:t>
      </w:r>
      <w:r>
        <w:t>, 2026</w:t>
      </w:r>
    </w:p>
    <w:p w14:paraId="1D72D73B"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59B7ACE0"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76700149"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41EE4DA6"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6E25A428"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35177DFB"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6148CBF1"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40C4BA83"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563404E3"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24AC5561"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025426B6"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715DB7A1"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335A9F71"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36A37783"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382C9EAD"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22D034A2"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287FDFE7"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4CBD6B79"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19D0D089"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7ADCC77F"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02DE4807"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247DF5CF"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0F4BC1B3"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68529CAF"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4451C94E"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10A4861D"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12B9B2AC"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7908236F"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484446F2"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7E6281DC"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241CCDDC"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00122AFF" w14:textId="77777777" w:rsidR="008A7EF5" w:rsidRDefault="008A7EF5" w:rsidP="008A7EF5">
      <w:pPr>
        <w:spacing w:after="0" w:line="240" w:lineRule="auto"/>
        <w:rPr>
          <w:rFonts w:ascii="Arial" w:eastAsia="Times New Roman" w:hAnsi="Arial" w:cs="Arial"/>
          <w:color w:val="000000"/>
          <w:kern w:val="0"/>
          <w:sz w:val="22"/>
          <w:szCs w:val="22"/>
          <w14:ligatures w14:val="none"/>
        </w:rPr>
      </w:pPr>
    </w:p>
    <w:p w14:paraId="6AD0812B" w14:textId="77777777" w:rsidR="008A7EF5" w:rsidRDefault="008A7EF5" w:rsidP="008A7EF5"/>
    <w:p w14:paraId="07F3A1DA" w14:textId="5E512A4C" w:rsidR="008A7EF5" w:rsidRPr="008A7EF5" w:rsidRDefault="008A7EF5" w:rsidP="008A7EF5">
      <w:pPr>
        <w:spacing w:after="0" w:line="480" w:lineRule="auto"/>
        <w:contextualSpacing/>
        <w:rPr>
          <w:b/>
          <w:bCs/>
        </w:rPr>
      </w:pPr>
      <w:r w:rsidRPr="008A7EF5">
        <w:rPr>
          <w:b/>
          <w:bCs/>
        </w:rPr>
        <w:t>Introduction</w:t>
      </w:r>
    </w:p>
    <w:p w14:paraId="72CA5AFF" w14:textId="34143BC1" w:rsidR="008A7EF5" w:rsidRDefault="008A7EF5" w:rsidP="008A7EF5">
      <w:pPr>
        <w:spacing w:after="0" w:line="480" w:lineRule="auto"/>
        <w:ind w:firstLine="720"/>
        <w:contextualSpacing/>
      </w:pPr>
      <w:r>
        <w:t xml:space="preserve">The absence of competitive market forces within federal and local government has fostered a widespread public perception of bureaucracy as one big sluggish machine delivering subpar services—a perception that has led to deep public dissatisfaction and which fuels persistent demands for systemic overhaul. At least, this is the common feeling among many people in society regarding our government and its operations. However, James Q. Wilson provides a far more nuanced institutional diagnosis in his book, </w:t>
      </w:r>
      <w:r w:rsidRPr="001564F8">
        <w:rPr>
          <w:i/>
          <w:iCs/>
        </w:rPr>
        <w:t>Bureaucracy: What Government Agencies Do and Why They Do It</w:t>
      </w:r>
      <w:r>
        <w:t xml:space="preserve"> (1989). Rather than providing an examination of agencies from the </w:t>
      </w:r>
      <w:r w:rsidR="00C352C6">
        <w:t>top-down</w:t>
      </w:r>
      <w:r>
        <w:t xml:space="preserve"> approach, Wilson investigates public administration from the bottom up to provide an explanation as to what front-line operators do and why they do it (Wilson, 1989, p. xvii).</w:t>
      </w:r>
    </w:p>
    <w:p w14:paraId="5811E4A4" w14:textId="77777777" w:rsidR="008A7EF5" w:rsidRDefault="008A7EF5" w:rsidP="008A7EF5">
      <w:pPr>
        <w:spacing w:after="0" w:line="480" w:lineRule="auto"/>
        <w:ind w:firstLine="720"/>
        <w:contextualSpacing/>
      </w:pPr>
      <w:r>
        <w:t>Wilson’s central thesis is that government agencies behave the way that they do not because of bureaucratic incompetence or simply because market forces are absent from their domain, but because of the external political constraints, organizational cultures, and the institutional tasks that define the public sector. Unlike private enterprises which are organized around the bottom-line retention of profits, public agencies are legally bound by constitutional division of power, statutory mandates, and heavily regulated oversight which deliberately prioritizes procedural fairness, equity, and accountability over raw economic efficiency.</w:t>
      </w:r>
    </w:p>
    <w:p w14:paraId="417D5918" w14:textId="77777777" w:rsidR="008A7EF5" w:rsidRDefault="008A7EF5" w:rsidP="008A7EF5">
      <w:pPr>
        <w:spacing w:after="0" w:line="480" w:lineRule="auto"/>
        <w:contextualSpacing/>
      </w:pPr>
    </w:p>
    <w:p w14:paraId="00CFCEAE" w14:textId="77777777" w:rsidR="008A7EF5" w:rsidRPr="008A7EF5" w:rsidRDefault="008A7EF5" w:rsidP="008A7EF5">
      <w:pPr>
        <w:spacing w:after="0" w:line="480" w:lineRule="auto"/>
        <w:contextualSpacing/>
        <w:rPr>
          <w:b/>
          <w:bCs/>
        </w:rPr>
      </w:pPr>
      <w:r w:rsidRPr="008A7EF5">
        <w:rPr>
          <w:b/>
          <w:bCs/>
        </w:rPr>
        <w:t>Main Themes and Methods</w:t>
      </w:r>
    </w:p>
    <w:p w14:paraId="3F389E56" w14:textId="034CDA7E" w:rsidR="008A7EF5" w:rsidRDefault="008A7EF5" w:rsidP="008A7EF5">
      <w:pPr>
        <w:spacing w:after="0" w:line="480" w:lineRule="auto"/>
        <w:ind w:firstLine="720"/>
        <w:contextualSpacing/>
      </w:pPr>
      <w:r>
        <w:lastRenderedPageBreak/>
        <w:t xml:space="preserve">To substantiate Wilson's central thesis, he organizes his analysis around several interrelated structural themes. His analytical framework in his book examines public administration from the view of those working on the </w:t>
      </w:r>
      <w:r w:rsidR="00C352C6">
        <w:t>frontlines</w:t>
      </w:r>
      <w:r>
        <w:t xml:space="preserve"> up through external constitutional politics. The primary theme driving the first half of the book is the importance of front-line operators and organizational culture over formal administrative hierarchy. Wilson demonstrates that public agencies cannot function like private enterprises simply because public managers are stripped of basic managerial discretion; external statutes, civil service protections, and budget rules dictate how agencies hire, how they spend funds, and how they procure equipment (Wilson, 1989, pp. 115–118). Deprived of private-sector market mechanisms like those of retained earnings which an accountant deals with or discretionary bonuses that executives must distribute, public executives cannot simply steer an agency through top-down mandates. Instead, the operational reality of these public sectors is that administrations are negotiated from the bottom up by front-line “operators”—such as police officers on patrol, public school teachers, or prison guards—who exercise substantial discretion in response to their daily job requirements (Wilson, 1989, pp. 31–34). Over time, what has occurred is that these daily operational routines have solidified into a powerful shared organizational culture. In time this begins to define the agency’s true “core tasks.” For example, Wilson contrasts the strict, custodial culture of the Texas Department of Corrections with the more permissive, loose rehabilitative culture of the California prison system, demonstrating that internal cultural norms—not top-down charts—really are the ones that dictate how public power is actually exercised on the ground (Wilson, 1989, pp. 14–26).</w:t>
      </w:r>
    </w:p>
    <w:p w14:paraId="7A1F1AC3" w14:textId="77777777" w:rsidR="008A7EF5" w:rsidRDefault="008A7EF5" w:rsidP="008A7EF5">
      <w:pPr>
        <w:spacing w:after="0" w:line="480" w:lineRule="auto"/>
        <w:contextualSpacing/>
      </w:pPr>
    </w:p>
    <w:p w14:paraId="7C087BB5" w14:textId="1C87B1EF" w:rsidR="008A7EF5" w:rsidRDefault="008A7EF5" w:rsidP="008A7EF5">
      <w:pPr>
        <w:spacing w:after="0" w:line="480" w:lineRule="auto"/>
        <w:ind w:firstLine="720"/>
        <w:contextualSpacing/>
      </w:pPr>
      <w:r>
        <w:t xml:space="preserve">Overall, culture trumps governmental policies and practices. The informal culture that governmental agencies live, governs behavior as strongly as departmental policies themselves. The culture of how things </w:t>
      </w:r>
      <w:r w:rsidR="00C352C6">
        <w:t>operate</w:t>
      </w:r>
      <w:r>
        <w:t xml:space="preserve"> diverge so much in the market in comparison to our governmental agencies. To illustrate the fundamental difference and chasm between public and private management, Wilson contrasts a private enterprise—the New England Electric System (NEES)—with a government agency of comparable scale (Wilson, 1989, pp. 115–118). While NEES managers can manage several levers like relocating capital, retaining operating surpluses, and hiring or discharging company personnel to maximize their efficiency, public managers face regulatory and statutory boundaries that strip them of discretion over revenues, procurement, and compensation (Wilson, 1989, pp. 115–118). These are examples of why bureaucratic behavior is driven by bottom-up operator cultures and regulations rather than simple managerial intent.</w:t>
      </w:r>
    </w:p>
    <w:p w14:paraId="58DBF30E" w14:textId="528D0863" w:rsidR="008A7EF5" w:rsidRDefault="008A7EF5" w:rsidP="008A7EF5">
      <w:pPr>
        <w:spacing w:after="0" w:line="480" w:lineRule="auto"/>
        <w:ind w:firstLine="720"/>
        <w:contextualSpacing/>
      </w:pPr>
      <w:r>
        <w:t xml:space="preserve">The second theme Wilson elaborated efficiently upon is the compliance problem and agency typology. This second theme provides an analytical framework for understanding why different public agencies function so vastly differently from one another (Wilson, 1989, pp. 158–175). Rather than treating all public agencies as one uniform entity, Wilson categorizes them based on whether their day-to-day work—their outputs and real-world effects—their outcomes can be observed. These categories are production agencies, procedural agencies, craft agencies, and coping agencies. In the first, production agencies, both outputs and outcomes are readily observable like those from agencies like the Social Security Administration or the Internal Revenue Service. Because claims processed and </w:t>
      </w:r>
      <w:r>
        <w:lastRenderedPageBreak/>
        <w:t xml:space="preserve">taxes collected are </w:t>
      </w:r>
      <w:proofErr w:type="gramStart"/>
      <w:r>
        <w:t>actually quantifiable</w:t>
      </w:r>
      <w:proofErr w:type="gramEnd"/>
      <w:r>
        <w:t xml:space="preserve">, management can somewhat mirror private administration’s efficiency (Wilson, 1989, pp. 160–163). In the second category, outputs are observable, but outcomes are not, for example in those such as the Occupational Safety and Health Administration during workplace inspections, or the peacetime military. Because long-term prevention cannot be easily quantified, managers stick to enforcing rigid adherence to procedural rules, checklists, and standard operating procedures (Wilson, 1989, pp. 163–165). In our third category, outcomes are observable, but day-to-day outputs are not, for example agencies like the Federal Bureau of Investigation or the Army Corps of Engineers. In these, managers cannot monitor every field activity, relying instead on professional craft norms and self-directed operational pride (Wilson, 1989, pp. 165–168). Finally, in the last category, neither outputs nor outcomes can be systematically observed. Examples of these are police officers on patrol, public school classrooms, and others. In these, managerial KPIs and measurements are extremely hard to derive, forcing administrators to manage crises and to rely on defensive approaches (Wilson, 1989, pp. 168–171). Thus, in these procedural and coping agencies, managers inevitably substitute compliance metrics for actual social outcomes. This undoubtedly creates the </w:t>
      </w:r>
      <w:r w:rsidR="00C352C6">
        <w:t>well-known</w:t>
      </w:r>
      <w:r>
        <w:t xml:space="preserve"> red tape that external observers mistake for incompetence.</w:t>
      </w:r>
    </w:p>
    <w:p w14:paraId="0908501B" w14:textId="77777777" w:rsidR="008A7EF5" w:rsidRDefault="008A7EF5" w:rsidP="008A7EF5">
      <w:pPr>
        <w:spacing w:after="0" w:line="480" w:lineRule="auto"/>
        <w:ind w:firstLine="720"/>
        <w:contextualSpacing/>
      </w:pPr>
      <w:r>
        <w:t xml:space="preserve">The third theme in Wilson’s work is that of the ongoing struggle for organizational autonomy within a fragmented constitutional structure (Wilson, 1989, pp. 179–195). Wilson argues in his book that public managers value most their autonomy to be able to carry out their agency’s main objectives and mission without the interference of exogenous bodies or political forces (Wilson, 1989, p. 182). Agencies actively resist taking on new </w:t>
      </w:r>
      <w:r>
        <w:lastRenderedPageBreak/>
        <w:t>responsibilities in those duties that threaten to dilute their established culture or trigger some forms of jurisdictional conflict. This defensive attitude is compounded by the constitutional separation of powers, where agencies do not answer to a single executive principal, but must navigate competing demands from congressional committees, presidential appointees, judicial reviews, and other organized interest groups (Wilson, 1989, pp. 235–256).</w:t>
      </w:r>
    </w:p>
    <w:p w14:paraId="1EF5E47E" w14:textId="77777777" w:rsidR="008A7EF5" w:rsidRDefault="008A7EF5" w:rsidP="008A7EF5">
      <w:pPr>
        <w:spacing w:after="0" w:line="480" w:lineRule="auto"/>
        <w:contextualSpacing/>
      </w:pPr>
    </w:p>
    <w:p w14:paraId="5A4B7097" w14:textId="77777777" w:rsidR="008A7EF5" w:rsidRPr="008A7EF5" w:rsidRDefault="008A7EF5" w:rsidP="008A7EF5">
      <w:pPr>
        <w:spacing w:after="0" w:line="480" w:lineRule="auto"/>
        <w:contextualSpacing/>
        <w:rPr>
          <w:b/>
          <w:bCs/>
        </w:rPr>
      </w:pPr>
      <w:r w:rsidRPr="008A7EF5">
        <w:rPr>
          <w:b/>
          <w:bCs/>
        </w:rPr>
        <w:t>Methodology</w:t>
      </w:r>
    </w:p>
    <w:p w14:paraId="1B2B4140" w14:textId="77777777" w:rsidR="008A7EF5" w:rsidRDefault="008A7EF5" w:rsidP="008A7EF5">
      <w:pPr>
        <w:spacing w:after="0" w:line="480" w:lineRule="auto"/>
        <w:ind w:firstLine="720"/>
        <w:contextualSpacing/>
      </w:pPr>
      <w:r>
        <w:t xml:space="preserve">Wilson relied strictly on an inductive, qualitative framework rather than formal robust econometric or statistical models. He built his empirical case through comparative case studies and administrative histories gathered across local, state, and federal agencies. Instead of compiling sample survey datasets or running multivariate regressions, Wilson derived his conceptual typologies by directly comparing actual, real-world examples of government agencies that operate much more differently (Wilson, 1989, pp. 90–110). For example, Wilson contrasts the Federal Bureau of Investigation under J. Edgar Hoover with the Drug Enforcement Administration to analyze how these distinct organization missions dictate internal discipline and external agency reputation (Wilson, 1989, pp. 104–109). Another example is that of the contrast between the military branches—such as the distinct operational cultures within the United States Navy and the Tactical Air Command. These are examples which demonstrate how technologies and tasks define administrative behavior from the bottom up (Wilson, 1989, pp. 95–100). By comparing municipal sanitation crews, state correctional facilities, and federal regulatory </w:t>
      </w:r>
      <w:r>
        <w:lastRenderedPageBreak/>
        <w:t>agencies, Wilson grounded his conceptual framework in descriptive realities. Again, while this comparative qualitative design lacks the rigorous mathematical econometric models, it does yield high validity as it captures the human discretion and institutional friction that quantitative models frequently miss.</w:t>
      </w:r>
    </w:p>
    <w:p w14:paraId="6572F968" w14:textId="77777777" w:rsidR="008A7EF5" w:rsidRDefault="008A7EF5" w:rsidP="008A7EF5">
      <w:pPr>
        <w:spacing w:after="0" w:line="480" w:lineRule="auto"/>
        <w:contextualSpacing/>
      </w:pPr>
    </w:p>
    <w:p w14:paraId="06D6FDBA" w14:textId="77777777" w:rsidR="008A7EF5" w:rsidRPr="008A7EF5" w:rsidRDefault="008A7EF5" w:rsidP="008A7EF5">
      <w:pPr>
        <w:spacing w:after="0" w:line="480" w:lineRule="auto"/>
        <w:contextualSpacing/>
        <w:rPr>
          <w:b/>
          <w:bCs/>
        </w:rPr>
      </w:pPr>
      <w:r w:rsidRPr="008A7EF5">
        <w:rPr>
          <w:b/>
          <w:bCs/>
        </w:rPr>
        <w:t>Place Within the Discipline</w:t>
      </w:r>
    </w:p>
    <w:p w14:paraId="571D0216" w14:textId="24A71ECA" w:rsidR="008A7EF5" w:rsidRDefault="008A7EF5" w:rsidP="008A7EF5">
      <w:pPr>
        <w:spacing w:after="0" w:line="480" w:lineRule="auto"/>
        <w:ind w:firstLine="720"/>
        <w:contextualSpacing/>
      </w:pPr>
      <w:r>
        <w:t>Within the broader discipline of public policy, Wilson’s Bureaucracy provides a vital institutional counterpart to Thomas Birkland’s policy process framework and Deborah Stone’s political analysis. While Birkland (2020) emphasizes the structural stages of policy formation, agenda setting, and statutory enactment, Wilson illuminates the implementation stage, demonstrating why statutory mandates frequently unravel once handed over to administrative operators who must on their own interpret vague legislative language under severe resource constraints.</w:t>
      </w:r>
    </w:p>
    <w:p w14:paraId="0EE5DEA3" w14:textId="77777777" w:rsidR="008A7EF5" w:rsidRDefault="008A7EF5" w:rsidP="008A7EF5">
      <w:pPr>
        <w:spacing w:after="0" w:line="480" w:lineRule="auto"/>
        <w:ind w:firstLine="720"/>
        <w:contextualSpacing/>
      </w:pPr>
      <w:r>
        <w:t xml:space="preserve">Furthermore, Wilson’s compliance typology directly enriches Deborah Stone’s (2012) critique of rationalist policy analysis in </w:t>
      </w:r>
      <w:r w:rsidRPr="00A54D8F">
        <w:rPr>
          <w:i/>
          <w:iCs/>
        </w:rPr>
        <w:t>Policy Paradox</w:t>
      </w:r>
      <w:r>
        <w:t>. Stone demonstrated in Chapter 9 (“Numbers”) that quantitative measures and performance indicators are political weapons rather than neutral tools of efficiency. Wilson’s analysis of procedural and coping agencies corroborates Stone’s critique: when public agencies cannot measure true outcomes, they are forced to substitute symbolic compliance metrics, creating an administrative illusion of accountability. Wilson grounds and proves Stone’s conceptual critiques in operational realities of these public agencies.</w:t>
      </w:r>
    </w:p>
    <w:p w14:paraId="239ACD96" w14:textId="77777777" w:rsidR="008A7EF5" w:rsidRDefault="008A7EF5" w:rsidP="008A7EF5">
      <w:pPr>
        <w:spacing w:after="0" w:line="480" w:lineRule="auto"/>
        <w:contextualSpacing/>
      </w:pPr>
    </w:p>
    <w:p w14:paraId="04CDBA14" w14:textId="77777777" w:rsidR="008A7EF5" w:rsidRPr="008A7EF5" w:rsidRDefault="008A7EF5" w:rsidP="008A7EF5">
      <w:pPr>
        <w:spacing w:after="0" w:line="480" w:lineRule="auto"/>
        <w:contextualSpacing/>
        <w:rPr>
          <w:b/>
          <w:bCs/>
        </w:rPr>
      </w:pPr>
      <w:r w:rsidRPr="008A7EF5">
        <w:rPr>
          <w:b/>
          <w:bCs/>
        </w:rPr>
        <w:lastRenderedPageBreak/>
        <w:t>Evaluation and Conclusion</w:t>
      </w:r>
    </w:p>
    <w:p w14:paraId="32BD37B6" w14:textId="3A54F14B" w:rsidR="008A7EF5" w:rsidRDefault="008A7EF5" w:rsidP="008A7EF5">
      <w:pPr>
        <w:spacing w:after="0" w:line="480" w:lineRule="auto"/>
        <w:ind w:firstLine="720"/>
        <w:contextualSpacing/>
      </w:pPr>
      <w:r>
        <w:t xml:space="preserve">Wilson’s conclusions remain enduringly persuasive because they systematically demystify public bureaucracy without dismissing the role of the state entirely. By shifting analytical attention from popular stereotypes to institutional design, Wilson enables scholars to recognize and key into structural imperatives that dictate agency behavior. Rather than assigning organizational friction to employee lethargy, Wilson demonstrates that procedural inefficiency is frequently a deliberate constitutional artifact (Wilson, 1989, pp. 375–378). In democratic governance, friction in our administrative processes is intentionally engineered. This is deliberately designed this way to prevent arbitrary executive actions and to ensure equal treatment under the law. In essence, this administrative methodology is the price we </w:t>
      </w:r>
      <w:proofErr w:type="gramStart"/>
      <w:r>
        <w:t>have to</w:t>
      </w:r>
      <w:proofErr w:type="gramEnd"/>
      <w:r>
        <w:t xml:space="preserve"> pay as a society to ensure democratic accountability and equity.</w:t>
      </w:r>
    </w:p>
    <w:p w14:paraId="200F2227" w14:textId="77777777" w:rsidR="008A7EF5" w:rsidRDefault="008A7EF5" w:rsidP="008A7EF5">
      <w:pPr>
        <w:spacing w:after="0" w:line="480" w:lineRule="auto"/>
        <w:ind w:firstLine="720"/>
        <w:contextualSpacing/>
      </w:pPr>
      <w:r>
        <w:t xml:space="preserve">Despite these enduring contributions, Wilson's theoretical framework exhibits two notable limitations. First, as the work was composed in 1989, his empirical observations reflect an industrial, paper-based administrative era. Wilson’s paradigm does not account for the digital public infrastructure of our day, the automated case adjudication processes, and the algorithmic surveillance that govern contemporary public management—technologies that fundamentally restructure the work of front-line operators. In addition, political scientist J. Vincent Buck (1992, pp. 240–241) critiques Wilson for leaning into structural determinism by treating agency culture and political constraints as virtually fixed and unalterable. Consequently, Wilson's framework understates the potential for executive leadership, administrative entrepreneurship, and meaningful institutional reform. </w:t>
      </w:r>
      <w:r>
        <w:lastRenderedPageBreak/>
        <w:t>Nonetheless, Wilson’s foundational insight—that sustainable reform requires clarifying and simplifying core missions rather than multiplying procedural constraints—will aid in the security of our bureaucracy as an indispensable, permanent cornerstone of public administration and policy analysis.</w:t>
      </w:r>
    </w:p>
    <w:p w14:paraId="7F9DEE42" w14:textId="77777777" w:rsidR="008A7EF5" w:rsidRDefault="008A7EF5" w:rsidP="008A7EF5">
      <w:pPr>
        <w:spacing w:after="0" w:line="480" w:lineRule="auto"/>
        <w:contextualSpacing/>
      </w:pPr>
    </w:p>
    <w:p w14:paraId="768A1A82" w14:textId="77777777" w:rsidR="00C352C6" w:rsidRDefault="00C352C6" w:rsidP="008A7EF5">
      <w:pPr>
        <w:spacing w:after="0" w:line="480" w:lineRule="auto"/>
        <w:contextualSpacing/>
      </w:pPr>
    </w:p>
    <w:p w14:paraId="32A1CB2E" w14:textId="77777777" w:rsidR="00C352C6" w:rsidRDefault="00C352C6" w:rsidP="008A7EF5">
      <w:pPr>
        <w:spacing w:after="0" w:line="480" w:lineRule="auto"/>
        <w:contextualSpacing/>
      </w:pPr>
    </w:p>
    <w:p w14:paraId="0552DF77" w14:textId="77777777" w:rsidR="00C352C6" w:rsidRDefault="00C352C6" w:rsidP="008A7EF5">
      <w:pPr>
        <w:spacing w:after="0" w:line="480" w:lineRule="auto"/>
        <w:contextualSpacing/>
      </w:pPr>
    </w:p>
    <w:p w14:paraId="386EAF98" w14:textId="77777777" w:rsidR="00C352C6" w:rsidRDefault="00C352C6" w:rsidP="008A7EF5">
      <w:pPr>
        <w:spacing w:after="0" w:line="480" w:lineRule="auto"/>
        <w:contextualSpacing/>
      </w:pPr>
    </w:p>
    <w:p w14:paraId="574BDD44" w14:textId="77777777" w:rsidR="00C352C6" w:rsidRDefault="00C352C6" w:rsidP="008A7EF5">
      <w:pPr>
        <w:spacing w:after="0" w:line="480" w:lineRule="auto"/>
        <w:contextualSpacing/>
      </w:pPr>
    </w:p>
    <w:p w14:paraId="520E3B1E" w14:textId="77777777" w:rsidR="00C352C6" w:rsidRDefault="00C352C6" w:rsidP="008A7EF5">
      <w:pPr>
        <w:spacing w:after="0" w:line="480" w:lineRule="auto"/>
        <w:contextualSpacing/>
      </w:pPr>
    </w:p>
    <w:p w14:paraId="79A5B3C8" w14:textId="77777777" w:rsidR="00C352C6" w:rsidRDefault="00C352C6" w:rsidP="008A7EF5">
      <w:pPr>
        <w:spacing w:after="0" w:line="480" w:lineRule="auto"/>
        <w:contextualSpacing/>
      </w:pPr>
    </w:p>
    <w:p w14:paraId="407885A2" w14:textId="77777777" w:rsidR="00C352C6" w:rsidRDefault="00C352C6" w:rsidP="008A7EF5">
      <w:pPr>
        <w:spacing w:after="0" w:line="480" w:lineRule="auto"/>
        <w:contextualSpacing/>
      </w:pPr>
    </w:p>
    <w:p w14:paraId="4B0229D5" w14:textId="77777777" w:rsidR="00C352C6" w:rsidRDefault="00C352C6" w:rsidP="008A7EF5">
      <w:pPr>
        <w:spacing w:after="0" w:line="480" w:lineRule="auto"/>
        <w:contextualSpacing/>
      </w:pPr>
    </w:p>
    <w:p w14:paraId="31467245" w14:textId="77777777" w:rsidR="00C352C6" w:rsidRDefault="00C352C6" w:rsidP="008A7EF5">
      <w:pPr>
        <w:spacing w:after="0" w:line="480" w:lineRule="auto"/>
        <w:contextualSpacing/>
      </w:pPr>
    </w:p>
    <w:p w14:paraId="2307B589" w14:textId="77777777" w:rsidR="00C352C6" w:rsidRDefault="00C352C6" w:rsidP="008A7EF5">
      <w:pPr>
        <w:spacing w:after="0" w:line="480" w:lineRule="auto"/>
        <w:contextualSpacing/>
      </w:pPr>
    </w:p>
    <w:p w14:paraId="23257CB7" w14:textId="77777777" w:rsidR="00C352C6" w:rsidRDefault="00C352C6" w:rsidP="008A7EF5">
      <w:pPr>
        <w:spacing w:after="0" w:line="480" w:lineRule="auto"/>
        <w:contextualSpacing/>
      </w:pPr>
    </w:p>
    <w:p w14:paraId="374A9CD0" w14:textId="77777777" w:rsidR="00C352C6" w:rsidRDefault="00C352C6" w:rsidP="008A7EF5">
      <w:pPr>
        <w:spacing w:after="0" w:line="480" w:lineRule="auto"/>
        <w:contextualSpacing/>
      </w:pPr>
    </w:p>
    <w:p w14:paraId="656A9028" w14:textId="77777777" w:rsidR="00C352C6" w:rsidRDefault="00C352C6" w:rsidP="008A7EF5">
      <w:pPr>
        <w:spacing w:after="0" w:line="480" w:lineRule="auto"/>
        <w:contextualSpacing/>
      </w:pPr>
    </w:p>
    <w:p w14:paraId="7E0F275D" w14:textId="77777777" w:rsidR="00C352C6" w:rsidRDefault="00C352C6" w:rsidP="008A7EF5">
      <w:pPr>
        <w:spacing w:after="0" w:line="480" w:lineRule="auto"/>
        <w:contextualSpacing/>
      </w:pPr>
    </w:p>
    <w:p w14:paraId="36BBA6EF" w14:textId="77777777" w:rsidR="00C352C6" w:rsidRDefault="00C352C6" w:rsidP="008A7EF5">
      <w:pPr>
        <w:spacing w:after="0" w:line="480" w:lineRule="auto"/>
        <w:contextualSpacing/>
      </w:pPr>
    </w:p>
    <w:p w14:paraId="0F8F1EFB" w14:textId="77777777" w:rsidR="00C352C6" w:rsidRDefault="00C352C6" w:rsidP="008A7EF5">
      <w:pPr>
        <w:spacing w:after="0" w:line="480" w:lineRule="auto"/>
        <w:contextualSpacing/>
      </w:pPr>
    </w:p>
    <w:p w14:paraId="68CA4DBD" w14:textId="77777777" w:rsidR="008A7EF5" w:rsidRPr="008A7EF5" w:rsidRDefault="008A7EF5" w:rsidP="008A7EF5">
      <w:pPr>
        <w:spacing w:after="0" w:line="480" w:lineRule="auto"/>
        <w:contextualSpacing/>
        <w:rPr>
          <w:b/>
          <w:bCs/>
        </w:rPr>
      </w:pPr>
      <w:r w:rsidRPr="008A7EF5">
        <w:rPr>
          <w:b/>
          <w:bCs/>
        </w:rPr>
        <w:lastRenderedPageBreak/>
        <w:t>References</w:t>
      </w:r>
    </w:p>
    <w:p w14:paraId="2DF58703" w14:textId="2BDDEFBC" w:rsidR="008A7EF5" w:rsidRDefault="008A7EF5" w:rsidP="008A7EF5">
      <w:pPr>
        <w:spacing w:after="0" w:line="480" w:lineRule="auto"/>
        <w:contextualSpacing/>
      </w:pPr>
      <w:r>
        <w:t xml:space="preserve">Birkland, T. A. (2020). </w:t>
      </w:r>
      <w:r w:rsidRPr="008A7EF5">
        <w:rPr>
          <w:i/>
          <w:iCs/>
        </w:rPr>
        <w:t xml:space="preserve">An introduction to the policy process: </w:t>
      </w:r>
      <w:r w:rsidRPr="00A54D8F">
        <w:t>Theories, concepts, and styles of public policy making (5th ed.).</w:t>
      </w:r>
      <w:r>
        <w:t xml:space="preserve"> Routledge.</w:t>
      </w:r>
    </w:p>
    <w:p w14:paraId="54CDB4B6" w14:textId="77777777" w:rsidR="008A7EF5" w:rsidRDefault="008A7EF5" w:rsidP="008A7EF5">
      <w:pPr>
        <w:spacing w:after="0" w:line="480" w:lineRule="auto"/>
        <w:contextualSpacing/>
      </w:pPr>
    </w:p>
    <w:p w14:paraId="7B911933" w14:textId="61B5846B" w:rsidR="008A7EF5" w:rsidRDefault="008A7EF5" w:rsidP="008A7EF5">
      <w:pPr>
        <w:spacing w:after="0" w:line="480" w:lineRule="auto"/>
        <w:contextualSpacing/>
      </w:pPr>
      <w:r>
        <w:t xml:space="preserve">Buck, J. V. (1992). </w:t>
      </w:r>
      <w:r w:rsidRPr="00A54D8F">
        <w:t>Bureaucracy: What government agencies do and why they do it</w:t>
      </w:r>
      <w:r>
        <w:t xml:space="preserve"> [Book review]. The American Political Science Review, 86(1), 240–241. </w:t>
      </w:r>
      <w:hyperlink r:id="rId7" w:history="1">
        <w:r w:rsidRPr="007D6901">
          <w:rPr>
            <w:rStyle w:val="Hyperlink"/>
          </w:rPr>
          <w:t>https://doi.org/10.2307/1964049</w:t>
        </w:r>
      </w:hyperlink>
    </w:p>
    <w:p w14:paraId="2D57B915" w14:textId="77777777" w:rsidR="008A7EF5" w:rsidRDefault="008A7EF5" w:rsidP="008A7EF5">
      <w:pPr>
        <w:spacing w:after="0" w:line="480" w:lineRule="auto"/>
        <w:contextualSpacing/>
      </w:pPr>
    </w:p>
    <w:p w14:paraId="4BB2E014" w14:textId="269A5E8D" w:rsidR="008A7EF5" w:rsidRDefault="008A7EF5" w:rsidP="008A7EF5">
      <w:pPr>
        <w:spacing w:after="0" w:line="480" w:lineRule="auto"/>
        <w:contextualSpacing/>
      </w:pPr>
      <w:r>
        <w:t xml:space="preserve">Stone, D. (2012). </w:t>
      </w:r>
      <w:r w:rsidRPr="00A54D8F">
        <w:t>Policy paradox: The art of political decision making (3rd ed.).</w:t>
      </w:r>
      <w:r>
        <w:t xml:space="preserve"> W. W. Norton &amp; Company.</w:t>
      </w:r>
    </w:p>
    <w:p w14:paraId="40808B19" w14:textId="77777777" w:rsidR="008A7EF5" w:rsidRDefault="008A7EF5" w:rsidP="008A7EF5">
      <w:pPr>
        <w:spacing w:after="0" w:line="480" w:lineRule="auto"/>
        <w:contextualSpacing/>
      </w:pPr>
    </w:p>
    <w:p w14:paraId="4937E75F" w14:textId="284B43F9" w:rsidR="00972855" w:rsidRDefault="008A7EF5" w:rsidP="008A7EF5">
      <w:pPr>
        <w:spacing w:after="0" w:line="480" w:lineRule="auto"/>
        <w:contextualSpacing/>
      </w:pPr>
      <w:r>
        <w:t xml:space="preserve">Wilson, J. Q. (1989). </w:t>
      </w:r>
      <w:r w:rsidRPr="00A54D8F">
        <w:t xml:space="preserve">Bureaucracy: What government agencies do and why they do it. </w:t>
      </w:r>
      <w:r>
        <w:t>Basic Books.</w:t>
      </w:r>
    </w:p>
    <w:sectPr w:rsidR="00972855">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F9202" w14:textId="77777777" w:rsidR="00B27284" w:rsidRDefault="00B27284" w:rsidP="001564F8">
      <w:pPr>
        <w:spacing w:after="0" w:line="240" w:lineRule="auto"/>
      </w:pPr>
      <w:r>
        <w:separator/>
      </w:r>
    </w:p>
  </w:endnote>
  <w:endnote w:type="continuationSeparator" w:id="0">
    <w:p w14:paraId="29746F4E" w14:textId="77777777" w:rsidR="00B27284" w:rsidRDefault="00B27284" w:rsidP="00156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F7067B" w14:textId="77777777" w:rsidR="00B27284" w:rsidRDefault="00B27284" w:rsidP="001564F8">
      <w:pPr>
        <w:spacing w:after="0" w:line="240" w:lineRule="auto"/>
      </w:pPr>
      <w:r>
        <w:separator/>
      </w:r>
    </w:p>
  </w:footnote>
  <w:footnote w:type="continuationSeparator" w:id="0">
    <w:p w14:paraId="1E73B3B0" w14:textId="77777777" w:rsidR="00B27284" w:rsidRDefault="00B27284" w:rsidP="00156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618787"/>
      <w:docPartObj>
        <w:docPartGallery w:val="Page Numbers (Top of Page)"/>
        <w:docPartUnique/>
      </w:docPartObj>
    </w:sdtPr>
    <w:sdtContent>
      <w:p w14:paraId="2475148F" w14:textId="03141888" w:rsidR="001564F8" w:rsidRDefault="001564F8" w:rsidP="007D69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CEE006" w14:textId="77777777" w:rsidR="001564F8" w:rsidRDefault="001564F8" w:rsidP="001564F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50851140"/>
      <w:docPartObj>
        <w:docPartGallery w:val="Page Numbers (Top of Page)"/>
        <w:docPartUnique/>
      </w:docPartObj>
    </w:sdtPr>
    <w:sdtContent>
      <w:p w14:paraId="48CE6C2C" w14:textId="348645D6" w:rsidR="001564F8" w:rsidRDefault="001564F8" w:rsidP="007D69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8E3D33" w14:textId="77777777" w:rsidR="001564F8" w:rsidRDefault="001564F8" w:rsidP="001564F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B05188"/>
    <w:multiLevelType w:val="hybridMultilevel"/>
    <w:tmpl w:val="F0D4905A"/>
    <w:lvl w:ilvl="0" w:tplc="EBEA176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5F69E4"/>
    <w:multiLevelType w:val="hybridMultilevel"/>
    <w:tmpl w:val="A6B87E2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DC22C484">
      <w:start w:val="2"/>
      <w:numFmt w:val="bullet"/>
      <w:lvlText w:val="-"/>
      <w:lvlJc w:val="left"/>
      <w:pPr>
        <w:ind w:left="1980" w:hanging="360"/>
      </w:pPr>
      <w:rPr>
        <w:rFonts w:ascii="Aptos" w:eastAsiaTheme="minorEastAsia" w:hAnsi="Aptos"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4519235">
    <w:abstractNumId w:val="1"/>
  </w:num>
  <w:num w:numId="2" w16cid:durableId="7621901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84"/>
    <w:rsid w:val="001564F8"/>
    <w:rsid w:val="00303413"/>
    <w:rsid w:val="003C563F"/>
    <w:rsid w:val="00582ACD"/>
    <w:rsid w:val="00685B26"/>
    <w:rsid w:val="00841583"/>
    <w:rsid w:val="008A6329"/>
    <w:rsid w:val="008A7EF5"/>
    <w:rsid w:val="00972855"/>
    <w:rsid w:val="00A54D8F"/>
    <w:rsid w:val="00B27284"/>
    <w:rsid w:val="00C352C6"/>
    <w:rsid w:val="00C360CB"/>
    <w:rsid w:val="00D541AA"/>
    <w:rsid w:val="00E168CF"/>
    <w:rsid w:val="00F0368A"/>
    <w:rsid w:val="00F75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0DF372"/>
  <w15:chartTrackingRefBased/>
  <w15:docId w15:val="{5934C6A7-337C-8C4A-A6A0-E3C0B6DA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C84"/>
    <w:rPr>
      <w:rFonts w:eastAsiaTheme="majorEastAsia" w:cstheme="majorBidi"/>
      <w:color w:val="272727" w:themeColor="text1" w:themeTint="D8"/>
    </w:rPr>
  </w:style>
  <w:style w:type="paragraph" w:styleId="Title">
    <w:name w:val="Title"/>
    <w:basedOn w:val="Normal"/>
    <w:next w:val="Normal"/>
    <w:link w:val="TitleChar"/>
    <w:uiPriority w:val="10"/>
    <w:qFormat/>
    <w:rsid w:val="00F7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C84"/>
    <w:pPr>
      <w:spacing w:before="160"/>
      <w:jc w:val="center"/>
    </w:pPr>
    <w:rPr>
      <w:i/>
      <w:iCs/>
      <w:color w:val="404040" w:themeColor="text1" w:themeTint="BF"/>
    </w:rPr>
  </w:style>
  <w:style w:type="character" w:customStyle="1" w:styleId="QuoteChar">
    <w:name w:val="Quote Char"/>
    <w:basedOn w:val="DefaultParagraphFont"/>
    <w:link w:val="Quote"/>
    <w:uiPriority w:val="29"/>
    <w:rsid w:val="00F75C84"/>
    <w:rPr>
      <w:i/>
      <w:iCs/>
      <w:color w:val="404040" w:themeColor="text1" w:themeTint="BF"/>
    </w:rPr>
  </w:style>
  <w:style w:type="paragraph" w:styleId="ListParagraph">
    <w:name w:val="List Paragraph"/>
    <w:basedOn w:val="Normal"/>
    <w:uiPriority w:val="34"/>
    <w:qFormat/>
    <w:rsid w:val="00F75C84"/>
    <w:pPr>
      <w:ind w:left="720"/>
      <w:contextualSpacing/>
    </w:pPr>
  </w:style>
  <w:style w:type="character" w:styleId="IntenseEmphasis">
    <w:name w:val="Intense Emphasis"/>
    <w:basedOn w:val="DefaultParagraphFont"/>
    <w:uiPriority w:val="21"/>
    <w:qFormat/>
    <w:rsid w:val="00F75C84"/>
    <w:rPr>
      <w:i/>
      <w:iCs/>
      <w:color w:val="0F4761" w:themeColor="accent1" w:themeShade="BF"/>
    </w:rPr>
  </w:style>
  <w:style w:type="paragraph" w:styleId="IntenseQuote">
    <w:name w:val="Intense Quote"/>
    <w:basedOn w:val="Normal"/>
    <w:next w:val="Normal"/>
    <w:link w:val="IntenseQuoteChar"/>
    <w:uiPriority w:val="30"/>
    <w:qFormat/>
    <w:rsid w:val="00F75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C84"/>
    <w:rPr>
      <w:i/>
      <w:iCs/>
      <w:color w:val="0F4761" w:themeColor="accent1" w:themeShade="BF"/>
    </w:rPr>
  </w:style>
  <w:style w:type="character" w:styleId="IntenseReference">
    <w:name w:val="Intense Reference"/>
    <w:basedOn w:val="DefaultParagraphFont"/>
    <w:uiPriority w:val="32"/>
    <w:qFormat/>
    <w:rsid w:val="00F75C84"/>
    <w:rPr>
      <w:b/>
      <w:bCs/>
      <w:smallCaps/>
      <w:color w:val="0F4761" w:themeColor="accent1" w:themeShade="BF"/>
      <w:spacing w:val="5"/>
    </w:rPr>
  </w:style>
  <w:style w:type="character" w:styleId="Hyperlink">
    <w:name w:val="Hyperlink"/>
    <w:basedOn w:val="DefaultParagraphFont"/>
    <w:uiPriority w:val="99"/>
    <w:unhideWhenUsed/>
    <w:rsid w:val="008A7EF5"/>
    <w:rPr>
      <w:color w:val="467886" w:themeColor="hyperlink"/>
      <w:u w:val="single"/>
    </w:rPr>
  </w:style>
  <w:style w:type="character" w:styleId="UnresolvedMention">
    <w:name w:val="Unresolved Mention"/>
    <w:basedOn w:val="DefaultParagraphFont"/>
    <w:uiPriority w:val="99"/>
    <w:semiHidden/>
    <w:unhideWhenUsed/>
    <w:rsid w:val="008A7EF5"/>
    <w:rPr>
      <w:color w:val="605E5C"/>
      <w:shd w:val="clear" w:color="auto" w:fill="E1DFDD"/>
    </w:rPr>
  </w:style>
  <w:style w:type="paragraph" w:styleId="Header">
    <w:name w:val="header"/>
    <w:basedOn w:val="Normal"/>
    <w:link w:val="HeaderChar"/>
    <w:uiPriority w:val="99"/>
    <w:unhideWhenUsed/>
    <w:rsid w:val="00156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4F8"/>
  </w:style>
  <w:style w:type="character" w:styleId="PageNumber">
    <w:name w:val="page number"/>
    <w:basedOn w:val="DefaultParagraphFont"/>
    <w:uiPriority w:val="99"/>
    <w:semiHidden/>
    <w:unhideWhenUsed/>
    <w:rsid w:val="00156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2307/19640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Jones</dc:creator>
  <cp:keywords/>
  <dc:description/>
  <cp:lastModifiedBy>Ellen Jones</cp:lastModifiedBy>
  <cp:revision>4</cp:revision>
  <dcterms:created xsi:type="dcterms:W3CDTF">2026-09-28T16:17:00Z</dcterms:created>
  <dcterms:modified xsi:type="dcterms:W3CDTF">2026-10-05T20:58:00Z</dcterms:modified>
</cp:coreProperties>
</file>