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13B077" w14:textId="77777777" w:rsidR="00C330F9" w:rsidRDefault="00C330F9" w:rsidP="00C330F9">
      <w:pPr>
        <w:spacing w:after="0" w:line="240" w:lineRule="auto"/>
        <w:jc w:val="center"/>
        <w:rPr>
          <w:b/>
          <w:bCs/>
        </w:rPr>
      </w:pPr>
    </w:p>
    <w:p w14:paraId="621855C0" w14:textId="77777777" w:rsidR="00C330F9" w:rsidRDefault="00C330F9" w:rsidP="00C330F9">
      <w:pPr>
        <w:spacing w:after="0" w:line="240" w:lineRule="auto"/>
        <w:jc w:val="center"/>
        <w:rPr>
          <w:b/>
          <w:bCs/>
        </w:rPr>
      </w:pPr>
    </w:p>
    <w:p w14:paraId="1083B254" w14:textId="77777777" w:rsidR="00C330F9" w:rsidRDefault="00C330F9" w:rsidP="00C330F9">
      <w:pPr>
        <w:spacing w:after="0" w:line="240" w:lineRule="auto"/>
        <w:jc w:val="center"/>
        <w:rPr>
          <w:b/>
          <w:bCs/>
        </w:rPr>
      </w:pPr>
    </w:p>
    <w:p w14:paraId="0CB3D9F4" w14:textId="331427A3" w:rsidR="00C330F9" w:rsidRPr="00E76D6C" w:rsidRDefault="00C330F9" w:rsidP="00C330F9">
      <w:pPr>
        <w:spacing w:after="0" w:line="240" w:lineRule="auto"/>
        <w:jc w:val="center"/>
        <w:rPr>
          <w:b/>
          <w:bCs/>
        </w:rPr>
      </w:pPr>
      <w:r>
        <w:rPr>
          <w:b/>
          <w:bCs/>
        </w:rPr>
        <w:t>Academic Book Review – Module 3</w:t>
      </w:r>
    </w:p>
    <w:p w14:paraId="6ABD2DA5" w14:textId="77777777" w:rsidR="00C330F9" w:rsidRDefault="00C330F9" w:rsidP="00C330F9">
      <w:pPr>
        <w:spacing w:after="0" w:line="240" w:lineRule="auto"/>
        <w:jc w:val="center"/>
      </w:pPr>
    </w:p>
    <w:p w14:paraId="768D0222" w14:textId="77777777" w:rsidR="00C330F9" w:rsidRDefault="00C330F9" w:rsidP="00C330F9">
      <w:pPr>
        <w:spacing w:after="0" w:line="240" w:lineRule="auto"/>
        <w:jc w:val="center"/>
      </w:pPr>
    </w:p>
    <w:p w14:paraId="1A97C179" w14:textId="77777777" w:rsidR="00C330F9" w:rsidRDefault="00C330F9" w:rsidP="00C330F9">
      <w:pPr>
        <w:spacing w:after="0" w:line="240" w:lineRule="auto"/>
        <w:jc w:val="center"/>
      </w:pPr>
      <w:r>
        <w:t>Martin A. Perez Rodriguez</w:t>
      </w:r>
    </w:p>
    <w:p w14:paraId="4AE600D2" w14:textId="77777777" w:rsidR="00C330F9" w:rsidRDefault="00C330F9" w:rsidP="00C330F9">
      <w:pPr>
        <w:spacing w:after="0" w:line="240" w:lineRule="auto"/>
        <w:jc w:val="center"/>
      </w:pPr>
    </w:p>
    <w:p w14:paraId="74BA452A" w14:textId="77777777" w:rsidR="00C330F9" w:rsidRDefault="00C330F9" w:rsidP="00C330F9">
      <w:pPr>
        <w:spacing w:after="0" w:line="240" w:lineRule="auto"/>
        <w:jc w:val="center"/>
      </w:pPr>
      <w:r>
        <w:t>Department of Public Policy, Liberty University</w:t>
      </w:r>
    </w:p>
    <w:p w14:paraId="28FC4409" w14:textId="77777777" w:rsidR="00C330F9" w:rsidRDefault="00C330F9" w:rsidP="00C330F9">
      <w:pPr>
        <w:spacing w:after="0" w:line="240" w:lineRule="auto"/>
        <w:jc w:val="center"/>
      </w:pPr>
    </w:p>
    <w:p w14:paraId="70CAD6C6" w14:textId="77777777" w:rsidR="00C330F9" w:rsidRDefault="00C330F9" w:rsidP="00C330F9">
      <w:pPr>
        <w:spacing w:after="0" w:line="240" w:lineRule="auto"/>
        <w:jc w:val="center"/>
      </w:pPr>
      <w:r>
        <w:t>PLCY 700: Foundations of Public Policy</w:t>
      </w:r>
    </w:p>
    <w:p w14:paraId="309E4B0A" w14:textId="77777777" w:rsidR="00C330F9" w:rsidRDefault="00C330F9" w:rsidP="00C330F9">
      <w:pPr>
        <w:spacing w:after="0" w:line="240" w:lineRule="auto"/>
        <w:jc w:val="center"/>
      </w:pPr>
    </w:p>
    <w:p w14:paraId="43B181B2" w14:textId="77777777" w:rsidR="00C330F9" w:rsidRDefault="00C330F9" w:rsidP="00C330F9">
      <w:pPr>
        <w:spacing w:after="0" w:line="240" w:lineRule="auto"/>
        <w:jc w:val="center"/>
      </w:pPr>
      <w:r>
        <w:t xml:space="preserve">Dr. </w:t>
      </w:r>
      <w:r w:rsidRPr="00A95105">
        <w:t>Scott Boykin</w:t>
      </w:r>
    </w:p>
    <w:p w14:paraId="0BC952F3" w14:textId="77777777" w:rsidR="00C330F9" w:rsidRDefault="00C330F9" w:rsidP="00C330F9">
      <w:pPr>
        <w:spacing w:after="0" w:line="240" w:lineRule="auto"/>
        <w:jc w:val="center"/>
      </w:pPr>
    </w:p>
    <w:p w14:paraId="457FDA1E" w14:textId="5A4985DB" w:rsidR="00C330F9" w:rsidRDefault="00C330F9" w:rsidP="00C330F9">
      <w:pPr>
        <w:spacing w:after="0" w:line="240" w:lineRule="auto"/>
        <w:jc w:val="center"/>
        <w:rPr>
          <w:rFonts w:ascii="Arial" w:eastAsia="Times New Roman" w:hAnsi="Arial" w:cs="Arial"/>
          <w:color w:val="000000"/>
          <w:kern w:val="0"/>
          <w:sz w:val="22"/>
          <w:szCs w:val="22"/>
          <w14:ligatures w14:val="none"/>
        </w:rPr>
      </w:pPr>
      <w:r>
        <w:t xml:space="preserve">September </w:t>
      </w:r>
      <w:r>
        <w:t>10</w:t>
      </w:r>
      <w:r>
        <w:t>, 2026</w:t>
      </w:r>
    </w:p>
    <w:p w14:paraId="54DF8052" w14:textId="77777777" w:rsidR="00C330F9" w:rsidRDefault="00C330F9" w:rsidP="00C330F9">
      <w:pPr>
        <w:spacing w:after="0" w:line="240" w:lineRule="auto"/>
        <w:rPr>
          <w:rFonts w:ascii="Arial" w:eastAsia="Times New Roman" w:hAnsi="Arial" w:cs="Arial"/>
          <w:color w:val="000000"/>
          <w:kern w:val="0"/>
          <w:sz w:val="22"/>
          <w:szCs w:val="22"/>
          <w14:ligatures w14:val="none"/>
        </w:rPr>
      </w:pPr>
    </w:p>
    <w:p w14:paraId="1D4AB850" w14:textId="77777777" w:rsidR="00C330F9" w:rsidRDefault="00C330F9" w:rsidP="00C330F9">
      <w:pPr>
        <w:spacing w:after="0" w:line="240" w:lineRule="auto"/>
        <w:rPr>
          <w:rFonts w:ascii="Arial" w:eastAsia="Times New Roman" w:hAnsi="Arial" w:cs="Arial"/>
          <w:color w:val="000000"/>
          <w:kern w:val="0"/>
          <w:sz w:val="22"/>
          <w:szCs w:val="22"/>
          <w14:ligatures w14:val="none"/>
        </w:rPr>
      </w:pPr>
    </w:p>
    <w:p w14:paraId="568D8577" w14:textId="77777777" w:rsidR="00C330F9" w:rsidRDefault="00C330F9" w:rsidP="00C330F9">
      <w:pPr>
        <w:spacing w:after="0" w:line="240" w:lineRule="auto"/>
        <w:rPr>
          <w:rFonts w:ascii="Arial" w:eastAsia="Times New Roman" w:hAnsi="Arial" w:cs="Arial"/>
          <w:color w:val="000000"/>
          <w:kern w:val="0"/>
          <w:sz w:val="22"/>
          <w:szCs w:val="22"/>
          <w14:ligatures w14:val="none"/>
        </w:rPr>
      </w:pPr>
    </w:p>
    <w:p w14:paraId="0E460D1C" w14:textId="77777777" w:rsidR="00C330F9" w:rsidRDefault="00C330F9" w:rsidP="00C330F9">
      <w:pPr>
        <w:spacing w:after="0" w:line="240" w:lineRule="auto"/>
        <w:rPr>
          <w:rFonts w:ascii="Arial" w:eastAsia="Times New Roman" w:hAnsi="Arial" w:cs="Arial"/>
          <w:color w:val="000000"/>
          <w:kern w:val="0"/>
          <w:sz w:val="22"/>
          <w:szCs w:val="22"/>
          <w14:ligatures w14:val="none"/>
        </w:rPr>
      </w:pPr>
    </w:p>
    <w:p w14:paraId="3071ADB6" w14:textId="77777777" w:rsidR="00C330F9" w:rsidRDefault="00C330F9" w:rsidP="00C330F9">
      <w:pPr>
        <w:spacing w:after="0" w:line="240" w:lineRule="auto"/>
        <w:rPr>
          <w:rFonts w:ascii="Arial" w:eastAsia="Times New Roman" w:hAnsi="Arial" w:cs="Arial"/>
          <w:color w:val="000000"/>
          <w:kern w:val="0"/>
          <w:sz w:val="22"/>
          <w:szCs w:val="22"/>
          <w14:ligatures w14:val="none"/>
        </w:rPr>
      </w:pPr>
    </w:p>
    <w:p w14:paraId="1421DDFC" w14:textId="77777777" w:rsidR="00C330F9" w:rsidRDefault="00C330F9" w:rsidP="00C330F9">
      <w:pPr>
        <w:spacing w:after="0" w:line="240" w:lineRule="auto"/>
        <w:rPr>
          <w:rFonts w:ascii="Arial" w:eastAsia="Times New Roman" w:hAnsi="Arial" w:cs="Arial"/>
          <w:color w:val="000000"/>
          <w:kern w:val="0"/>
          <w:sz w:val="22"/>
          <w:szCs w:val="22"/>
          <w14:ligatures w14:val="none"/>
        </w:rPr>
      </w:pPr>
    </w:p>
    <w:p w14:paraId="724DCF3B" w14:textId="77777777" w:rsidR="00C330F9" w:rsidRDefault="00C330F9" w:rsidP="00C330F9">
      <w:pPr>
        <w:spacing w:after="0" w:line="240" w:lineRule="auto"/>
        <w:rPr>
          <w:rFonts w:ascii="Arial" w:eastAsia="Times New Roman" w:hAnsi="Arial" w:cs="Arial"/>
          <w:color w:val="000000"/>
          <w:kern w:val="0"/>
          <w:sz w:val="22"/>
          <w:szCs w:val="22"/>
          <w14:ligatures w14:val="none"/>
        </w:rPr>
      </w:pPr>
    </w:p>
    <w:p w14:paraId="2E13FD9A" w14:textId="77777777" w:rsidR="00C330F9" w:rsidRDefault="00C330F9" w:rsidP="00C330F9">
      <w:pPr>
        <w:spacing w:after="0" w:line="240" w:lineRule="auto"/>
        <w:rPr>
          <w:rFonts w:ascii="Arial" w:eastAsia="Times New Roman" w:hAnsi="Arial" w:cs="Arial"/>
          <w:color w:val="000000"/>
          <w:kern w:val="0"/>
          <w:sz w:val="22"/>
          <w:szCs w:val="22"/>
          <w14:ligatures w14:val="none"/>
        </w:rPr>
      </w:pPr>
    </w:p>
    <w:p w14:paraId="4FF4B777" w14:textId="77777777" w:rsidR="00C330F9" w:rsidRDefault="00C330F9" w:rsidP="00C330F9">
      <w:pPr>
        <w:spacing w:after="0" w:line="240" w:lineRule="auto"/>
        <w:rPr>
          <w:rFonts w:ascii="Arial" w:eastAsia="Times New Roman" w:hAnsi="Arial" w:cs="Arial"/>
          <w:color w:val="000000"/>
          <w:kern w:val="0"/>
          <w:sz w:val="22"/>
          <w:szCs w:val="22"/>
          <w14:ligatures w14:val="none"/>
        </w:rPr>
      </w:pPr>
    </w:p>
    <w:p w14:paraId="7A2F24BF" w14:textId="77777777" w:rsidR="00C330F9" w:rsidRDefault="00C330F9" w:rsidP="00C330F9">
      <w:pPr>
        <w:spacing w:after="0" w:line="240" w:lineRule="auto"/>
        <w:rPr>
          <w:rFonts w:ascii="Arial" w:eastAsia="Times New Roman" w:hAnsi="Arial" w:cs="Arial"/>
          <w:color w:val="000000"/>
          <w:kern w:val="0"/>
          <w:sz w:val="22"/>
          <w:szCs w:val="22"/>
          <w14:ligatures w14:val="none"/>
        </w:rPr>
      </w:pPr>
    </w:p>
    <w:p w14:paraId="7DA1AF64" w14:textId="77777777" w:rsidR="00C330F9" w:rsidRDefault="00C330F9" w:rsidP="00C330F9">
      <w:pPr>
        <w:spacing w:after="0" w:line="240" w:lineRule="auto"/>
        <w:rPr>
          <w:rFonts w:ascii="Arial" w:eastAsia="Times New Roman" w:hAnsi="Arial" w:cs="Arial"/>
          <w:color w:val="000000"/>
          <w:kern w:val="0"/>
          <w:sz w:val="22"/>
          <w:szCs w:val="22"/>
          <w14:ligatures w14:val="none"/>
        </w:rPr>
      </w:pPr>
    </w:p>
    <w:p w14:paraId="3ED280D8" w14:textId="77777777" w:rsidR="00C330F9" w:rsidRDefault="00C330F9" w:rsidP="00C330F9">
      <w:pPr>
        <w:spacing w:after="0" w:line="240" w:lineRule="auto"/>
        <w:rPr>
          <w:rFonts w:ascii="Arial" w:eastAsia="Times New Roman" w:hAnsi="Arial" w:cs="Arial"/>
          <w:color w:val="000000"/>
          <w:kern w:val="0"/>
          <w:sz w:val="22"/>
          <w:szCs w:val="22"/>
          <w14:ligatures w14:val="none"/>
        </w:rPr>
      </w:pPr>
    </w:p>
    <w:p w14:paraId="2CA5BF81" w14:textId="77777777" w:rsidR="00C330F9" w:rsidRDefault="00C330F9" w:rsidP="00C330F9">
      <w:pPr>
        <w:spacing w:after="0" w:line="240" w:lineRule="auto"/>
        <w:rPr>
          <w:rFonts w:ascii="Arial" w:eastAsia="Times New Roman" w:hAnsi="Arial" w:cs="Arial"/>
          <w:color w:val="000000"/>
          <w:kern w:val="0"/>
          <w:sz w:val="22"/>
          <w:szCs w:val="22"/>
          <w14:ligatures w14:val="none"/>
        </w:rPr>
      </w:pPr>
    </w:p>
    <w:p w14:paraId="6DB073F4" w14:textId="77777777" w:rsidR="00C330F9" w:rsidRDefault="00C330F9" w:rsidP="00C330F9">
      <w:pPr>
        <w:spacing w:after="0" w:line="240" w:lineRule="auto"/>
        <w:rPr>
          <w:rFonts w:ascii="Arial" w:eastAsia="Times New Roman" w:hAnsi="Arial" w:cs="Arial"/>
          <w:color w:val="000000"/>
          <w:kern w:val="0"/>
          <w:sz w:val="22"/>
          <w:szCs w:val="22"/>
          <w14:ligatures w14:val="none"/>
        </w:rPr>
      </w:pPr>
    </w:p>
    <w:p w14:paraId="255D4B68" w14:textId="77777777" w:rsidR="00C330F9" w:rsidRDefault="00C330F9" w:rsidP="00C330F9">
      <w:pPr>
        <w:spacing w:after="0" w:line="240" w:lineRule="auto"/>
        <w:rPr>
          <w:rFonts w:ascii="Arial" w:eastAsia="Times New Roman" w:hAnsi="Arial" w:cs="Arial"/>
          <w:color w:val="000000"/>
          <w:kern w:val="0"/>
          <w:sz w:val="22"/>
          <w:szCs w:val="22"/>
          <w14:ligatures w14:val="none"/>
        </w:rPr>
      </w:pPr>
    </w:p>
    <w:p w14:paraId="0722A0B0" w14:textId="77777777" w:rsidR="00C330F9" w:rsidRDefault="00C330F9" w:rsidP="00C330F9">
      <w:pPr>
        <w:spacing w:after="0" w:line="240" w:lineRule="auto"/>
        <w:rPr>
          <w:rFonts w:ascii="Arial" w:eastAsia="Times New Roman" w:hAnsi="Arial" w:cs="Arial"/>
          <w:color w:val="000000"/>
          <w:kern w:val="0"/>
          <w:sz w:val="22"/>
          <w:szCs w:val="22"/>
          <w14:ligatures w14:val="none"/>
        </w:rPr>
      </w:pPr>
    </w:p>
    <w:p w14:paraId="567B337D" w14:textId="77777777" w:rsidR="00C330F9" w:rsidRDefault="00C330F9" w:rsidP="00C330F9">
      <w:pPr>
        <w:spacing w:after="0" w:line="240" w:lineRule="auto"/>
        <w:rPr>
          <w:rFonts w:ascii="Arial" w:eastAsia="Times New Roman" w:hAnsi="Arial" w:cs="Arial"/>
          <w:color w:val="000000"/>
          <w:kern w:val="0"/>
          <w:sz w:val="22"/>
          <w:szCs w:val="22"/>
          <w14:ligatures w14:val="none"/>
        </w:rPr>
      </w:pPr>
    </w:p>
    <w:p w14:paraId="4F731B0D" w14:textId="77777777" w:rsidR="00C330F9" w:rsidRDefault="00C330F9" w:rsidP="00C330F9">
      <w:pPr>
        <w:spacing w:after="0" w:line="240" w:lineRule="auto"/>
        <w:rPr>
          <w:rFonts w:ascii="Arial" w:eastAsia="Times New Roman" w:hAnsi="Arial" w:cs="Arial"/>
          <w:color w:val="000000"/>
          <w:kern w:val="0"/>
          <w:sz w:val="22"/>
          <w:szCs w:val="22"/>
          <w14:ligatures w14:val="none"/>
        </w:rPr>
      </w:pPr>
    </w:p>
    <w:p w14:paraId="0DE196FF" w14:textId="77777777" w:rsidR="00C330F9" w:rsidRDefault="00C330F9" w:rsidP="00C330F9">
      <w:pPr>
        <w:spacing w:after="0" w:line="240" w:lineRule="auto"/>
        <w:rPr>
          <w:rFonts w:ascii="Arial" w:eastAsia="Times New Roman" w:hAnsi="Arial" w:cs="Arial"/>
          <w:color w:val="000000"/>
          <w:kern w:val="0"/>
          <w:sz w:val="22"/>
          <w:szCs w:val="22"/>
          <w14:ligatures w14:val="none"/>
        </w:rPr>
      </w:pPr>
    </w:p>
    <w:p w14:paraId="226A5CE0" w14:textId="77777777" w:rsidR="00C330F9" w:rsidRDefault="00C330F9" w:rsidP="00C330F9">
      <w:pPr>
        <w:spacing w:after="0" w:line="240" w:lineRule="auto"/>
        <w:rPr>
          <w:rFonts w:ascii="Arial" w:eastAsia="Times New Roman" w:hAnsi="Arial" w:cs="Arial"/>
          <w:color w:val="000000"/>
          <w:kern w:val="0"/>
          <w:sz w:val="22"/>
          <w:szCs w:val="22"/>
          <w14:ligatures w14:val="none"/>
        </w:rPr>
      </w:pPr>
    </w:p>
    <w:p w14:paraId="6579C59B" w14:textId="77777777" w:rsidR="00C330F9" w:rsidRDefault="00C330F9" w:rsidP="00C330F9">
      <w:pPr>
        <w:spacing w:after="0" w:line="240" w:lineRule="auto"/>
        <w:rPr>
          <w:rFonts w:ascii="Arial" w:eastAsia="Times New Roman" w:hAnsi="Arial" w:cs="Arial"/>
          <w:color w:val="000000"/>
          <w:kern w:val="0"/>
          <w:sz w:val="22"/>
          <w:szCs w:val="22"/>
          <w14:ligatures w14:val="none"/>
        </w:rPr>
      </w:pPr>
    </w:p>
    <w:p w14:paraId="0B9EA90C" w14:textId="77777777" w:rsidR="00C330F9" w:rsidRDefault="00C330F9" w:rsidP="00C330F9">
      <w:pPr>
        <w:spacing w:after="0" w:line="240" w:lineRule="auto"/>
        <w:rPr>
          <w:rFonts w:ascii="Arial" w:eastAsia="Times New Roman" w:hAnsi="Arial" w:cs="Arial"/>
          <w:color w:val="000000"/>
          <w:kern w:val="0"/>
          <w:sz w:val="22"/>
          <w:szCs w:val="22"/>
          <w14:ligatures w14:val="none"/>
        </w:rPr>
      </w:pPr>
    </w:p>
    <w:p w14:paraId="60C7EDC0" w14:textId="77777777" w:rsidR="00C330F9" w:rsidRDefault="00C330F9" w:rsidP="00C330F9">
      <w:pPr>
        <w:spacing w:after="0" w:line="240" w:lineRule="auto"/>
        <w:rPr>
          <w:rFonts w:ascii="Arial" w:eastAsia="Times New Roman" w:hAnsi="Arial" w:cs="Arial"/>
          <w:color w:val="000000"/>
          <w:kern w:val="0"/>
          <w:sz w:val="22"/>
          <w:szCs w:val="22"/>
          <w14:ligatures w14:val="none"/>
        </w:rPr>
      </w:pPr>
    </w:p>
    <w:p w14:paraId="70F8C806" w14:textId="77777777" w:rsidR="00C330F9" w:rsidRDefault="00C330F9" w:rsidP="00C330F9">
      <w:pPr>
        <w:spacing w:after="0" w:line="240" w:lineRule="auto"/>
        <w:rPr>
          <w:rFonts w:ascii="Arial" w:eastAsia="Times New Roman" w:hAnsi="Arial" w:cs="Arial"/>
          <w:color w:val="000000"/>
          <w:kern w:val="0"/>
          <w:sz w:val="22"/>
          <w:szCs w:val="22"/>
          <w14:ligatures w14:val="none"/>
        </w:rPr>
      </w:pPr>
    </w:p>
    <w:p w14:paraId="131E6FE4" w14:textId="77777777" w:rsidR="00C330F9" w:rsidRDefault="00C330F9" w:rsidP="00C330F9">
      <w:pPr>
        <w:spacing w:after="0" w:line="240" w:lineRule="auto"/>
        <w:rPr>
          <w:rFonts w:ascii="Arial" w:eastAsia="Times New Roman" w:hAnsi="Arial" w:cs="Arial"/>
          <w:color w:val="000000"/>
          <w:kern w:val="0"/>
          <w:sz w:val="22"/>
          <w:szCs w:val="22"/>
          <w14:ligatures w14:val="none"/>
        </w:rPr>
      </w:pPr>
    </w:p>
    <w:p w14:paraId="11B72BEA" w14:textId="77777777" w:rsidR="00C330F9" w:rsidRDefault="00C330F9" w:rsidP="00C330F9">
      <w:pPr>
        <w:spacing w:after="0" w:line="240" w:lineRule="auto"/>
        <w:rPr>
          <w:rFonts w:ascii="Arial" w:eastAsia="Times New Roman" w:hAnsi="Arial" w:cs="Arial"/>
          <w:color w:val="000000"/>
          <w:kern w:val="0"/>
          <w:sz w:val="22"/>
          <w:szCs w:val="22"/>
          <w14:ligatures w14:val="none"/>
        </w:rPr>
      </w:pPr>
    </w:p>
    <w:p w14:paraId="3B1C5852" w14:textId="77777777" w:rsidR="00C330F9" w:rsidRDefault="00C330F9" w:rsidP="00C330F9">
      <w:pPr>
        <w:spacing w:after="0" w:line="240" w:lineRule="auto"/>
        <w:rPr>
          <w:rFonts w:ascii="Arial" w:eastAsia="Times New Roman" w:hAnsi="Arial" w:cs="Arial"/>
          <w:color w:val="000000"/>
          <w:kern w:val="0"/>
          <w:sz w:val="22"/>
          <w:szCs w:val="22"/>
          <w14:ligatures w14:val="none"/>
        </w:rPr>
      </w:pPr>
    </w:p>
    <w:p w14:paraId="497510FD" w14:textId="77777777" w:rsidR="00C330F9" w:rsidRDefault="00C330F9" w:rsidP="00C330F9">
      <w:pPr>
        <w:spacing w:after="0" w:line="240" w:lineRule="auto"/>
        <w:rPr>
          <w:rFonts w:ascii="Arial" w:eastAsia="Times New Roman" w:hAnsi="Arial" w:cs="Arial"/>
          <w:color w:val="000000"/>
          <w:kern w:val="0"/>
          <w:sz w:val="22"/>
          <w:szCs w:val="22"/>
          <w14:ligatures w14:val="none"/>
        </w:rPr>
      </w:pPr>
    </w:p>
    <w:p w14:paraId="2B199387" w14:textId="77777777" w:rsidR="00C330F9" w:rsidRDefault="00C330F9" w:rsidP="00C330F9">
      <w:pPr>
        <w:spacing w:after="0" w:line="240" w:lineRule="auto"/>
        <w:rPr>
          <w:rFonts w:ascii="Arial" w:eastAsia="Times New Roman" w:hAnsi="Arial" w:cs="Arial"/>
          <w:color w:val="000000"/>
          <w:kern w:val="0"/>
          <w:sz w:val="22"/>
          <w:szCs w:val="22"/>
          <w14:ligatures w14:val="none"/>
        </w:rPr>
      </w:pPr>
    </w:p>
    <w:p w14:paraId="0F3D5ED0" w14:textId="77777777" w:rsidR="00C330F9" w:rsidRDefault="00C330F9" w:rsidP="00C330F9">
      <w:pPr>
        <w:spacing w:after="0" w:line="240" w:lineRule="auto"/>
        <w:rPr>
          <w:rFonts w:ascii="Arial" w:eastAsia="Times New Roman" w:hAnsi="Arial" w:cs="Arial"/>
          <w:color w:val="000000"/>
          <w:kern w:val="0"/>
          <w:sz w:val="22"/>
          <w:szCs w:val="22"/>
          <w14:ligatures w14:val="none"/>
        </w:rPr>
      </w:pPr>
    </w:p>
    <w:p w14:paraId="406B10F4" w14:textId="77777777" w:rsidR="00C330F9" w:rsidRDefault="00C330F9" w:rsidP="00C330F9">
      <w:pPr>
        <w:spacing w:after="0" w:line="240" w:lineRule="auto"/>
        <w:rPr>
          <w:rFonts w:ascii="Arial" w:eastAsia="Times New Roman" w:hAnsi="Arial" w:cs="Arial"/>
          <w:color w:val="000000"/>
          <w:kern w:val="0"/>
          <w:sz w:val="22"/>
          <w:szCs w:val="22"/>
          <w14:ligatures w14:val="none"/>
        </w:rPr>
      </w:pPr>
    </w:p>
    <w:p w14:paraId="66762DBD" w14:textId="77777777" w:rsidR="00C330F9" w:rsidRDefault="00C330F9" w:rsidP="00C330F9">
      <w:pPr>
        <w:spacing w:after="0" w:line="240" w:lineRule="auto"/>
        <w:rPr>
          <w:rFonts w:ascii="Arial" w:eastAsia="Times New Roman" w:hAnsi="Arial" w:cs="Arial"/>
          <w:color w:val="000000"/>
          <w:kern w:val="0"/>
          <w:sz w:val="22"/>
          <w:szCs w:val="22"/>
          <w14:ligatures w14:val="none"/>
        </w:rPr>
      </w:pPr>
    </w:p>
    <w:p w14:paraId="5EC5A857" w14:textId="77777777" w:rsidR="00C330F9" w:rsidRDefault="00C330F9" w:rsidP="00C330F9">
      <w:pPr>
        <w:spacing w:after="0" w:line="240" w:lineRule="auto"/>
        <w:rPr>
          <w:rFonts w:ascii="Arial" w:eastAsia="Times New Roman" w:hAnsi="Arial" w:cs="Arial"/>
          <w:color w:val="000000"/>
          <w:kern w:val="0"/>
          <w:sz w:val="22"/>
          <w:szCs w:val="22"/>
          <w14:ligatures w14:val="none"/>
        </w:rPr>
      </w:pPr>
    </w:p>
    <w:p w14:paraId="3846BC55" w14:textId="77777777" w:rsidR="00C330F9" w:rsidRDefault="00C330F9" w:rsidP="001D233D">
      <w:pPr>
        <w:spacing w:after="0" w:line="480" w:lineRule="auto"/>
        <w:ind w:firstLine="720"/>
        <w:rPr>
          <w:rFonts w:ascii="Open Sans" w:eastAsia="Times New Roman" w:hAnsi="Open Sans" w:cs="Open Sans"/>
          <w:color w:val="000000"/>
          <w:kern w:val="0"/>
          <w:sz w:val="22"/>
          <w:szCs w:val="22"/>
          <w14:ligatures w14:val="none"/>
        </w:rPr>
      </w:pPr>
    </w:p>
    <w:p w14:paraId="434ED6C9" w14:textId="425B011E" w:rsidR="001D233D" w:rsidRPr="001D233D" w:rsidRDefault="001D233D" w:rsidP="001D233D">
      <w:pPr>
        <w:spacing w:after="0" w:line="480" w:lineRule="auto"/>
        <w:ind w:firstLine="720"/>
        <w:rPr>
          <w:rFonts w:ascii="Times New Roman" w:eastAsia="Times New Roman" w:hAnsi="Times New Roman" w:cs="Times New Roman"/>
          <w:kern w:val="0"/>
          <w14:ligatures w14:val="none"/>
        </w:rPr>
      </w:pPr>
      <w:r w:rsidRPr="001D233D">
        <w:rPr>
          <w:rFonts w:ascii="Open Sans" w:eastAsia="Times New Roman" w:hAnsi="Open Sans" w:cs="Open Sans"/>
          <w:color w:val="000000"/>
          <w:kern w:val="0"/>
          <w:sz w:val="22"/>
          <w:szCs w:val="22"/>
          <w14:ligatures w14:val="none"/>
        </w:rPr>
        <w:t xml:space="preserve">To gain an understanding of the structural and analytical requirements of academic critiques, I chose to evaluate Laura Marotta’s (2021) peer-reviewed evaluation of Deborah Stone’s (2020) book, </w:t>
      </w:r>
      <w:r w:rsidRPr="001D233D">
        <w:rPr>
          <w:rFonts w:ascii="Open Sans" w:eastAsia="Times New Roman" w:hAnsi="Open Sans" w:cs="Open Sans"/>
          <w:i/>
          <w:iCs/>
          <w:color w:val="000000"/>
          <w:kern w:val="0"/>
          <w:sz w:val="22"/>
          <w:szCs w:val="22"/>
          <w14:ligatures w14:val="none"/>
        </w:rPr>
        <w:t>Counting: How We Use Numbers to Decide What Matters</w:t>
      </w:r>
      <w:r w:rsidRPr="001D233D">
        <w:rPr>
          <w:rFonts w:ascii="Open Sans" w:eastAsia="Times New Roman" w:hAnsi="Open Sans" w:cs="Open Sans"/>
          <w:color w:val="000000"/>
          <w:kern w:val="0"/>
          <w:sz w:val="22"/>
          <w:szCs w:val="22"/>
          <w14:ligatures w14:val="none"/>
        </w:rPr>
        <w:t xml:space="preserve">. It was published in the </w:t>
      </w:r>
      <w:r w:rsidRPr="001D233D">
        <w:rPr>
          <w:rFonts w:ascii="Open Sans" w:eastAsia="Times New Roman" w:hAnsi="Open Sans" w:cs="Open Sans"/>
          <w:i/>
          <w:iCs/>
          <w:color w:val="000000"/>
          <w:kern w:val="0"/>
          <w:sz w:val="22"/>
          <w:szCs w:val="22"/>
          <w14:ligatures w14:val="none"/>
        </w:rPr>
        <w:t>Canadian Journal of Educational Administration and Policy</w:t>
      </w:r>
      <w:r w:rsidRPr="001D233D">
        <w:rPr>
          <w:rFonts w:ascii="Open Sans" w:eastAsia="Times New Roman" w:hAnsi="Open Sans" w:cs="Open Sans"/>
          <w:color w:val="000000"/>
          <w:kern w:val="0"/>
          <w:sz w:val="22"/>
          <w:szCs w:val="22"/>
          <w14:ligatures w14:val="none"/>
        </w:rPr>
        <w:t>. In this peer review, Marotta structures her critique firstly by introducing Stone’s main thesis: policymakers and society must fundamentally revise how statistics are generated to avoid perpetuating societal inequalities. Marotta highlights Stone's foundational argument that numbers are not merely objective facts, but rather powerful weapons that can be wielded for both positive progress and systemic oppression.</w:t>
      </w:r>
    </w:p>
    <w:p w14:paraId="4292C6E5" w14:textId="5C7C8A0E" w:rsidR="001D233D" w:rsidRPr="001D233D" w:rsidRDefault="001D233D" w:rsidP="001D233D">
      <w:pPr>
        <w:spacing w:after="0" w:line="480" w:lineRule="auto"/>
        <w:ind w:firstLine="720"/>
        <w:rPr>
          <w:rFonts w:ascii="Open Sans" w:eastAsia="Times New Roman" w:hAnsi="Open Sans" w:cs="Open Sans"/>
          <w:color w:val="000000"/>
          <w:kern w:val="0"/>
          <w:sz w:val="22"/>
          <w:szCs w:val="22"/>
          <w14:ligatures w14:val="none"/>
        </w:rPr>
      </w:pPr>
      <w:r w:rsidRPr="001D233D">
        <w:rPr>
          <w:rFonts w:ascii="Open Sans" w:eastAsia="Times New Roman" w:hAnsi="Open Sans" w:cs="Open Sans"/>
          <w:color w:val="000000"/>
          <w:kern w:val="0"/>
          <w:sz w:val="22"/>
          <w:szCs w:val="22"/>
          <w14:ligatures w14:val="none"/>
        </w:rPr>
        <w:t xml:space="preserve">Following this contextual introduction from Marotta (2021), she transitions into the objective summary of the book’s historical and contemporary examples. In this section, she outlines Stone’s assertion that many widely accepted metrics are indeed inherently biased or that these rely on erroneous computations. These inaccurate numbers include macroeconomic indicators like Gross Domestic Product (GDP), predictive justice algorithms like COMPAS, unemployment statistics, standardized testing, and even the definitions created by institutions such as poverty. Marotta shares how these numbers are weaponized by politicians and people in power, while also balancing the narrative by showing how diligent researchers use numbers to expose injustices, such as the Flint, Michigan water crisis (Marotta, 2021, p. 124). Furthermore, Marotta also outlines Stone’s research methodology noting that the author synthesized evidence from peer-reviewed </w:t>
      </w:r>
      <w:r w:rsidRPr="001D233D">
        <w:rPr>
          <w:rFonts w:ascii="Open Sans" w:eastAsia="Times New Roman" w:hAnsi="Open Sans" w:cs="Open Sans"/>
          <w:color w:val="000000"/>
          <w:kern w:val="0"/>
          <w:sz w:val="22"/>
          <w:szCs w:val="22"/>
          <w14:ligatures w14:val="none"/>
        </w:rPr>
        <w:lastRenderedPageBreak/>
        <w:t>journals, newspaper articles, books, conference reports, and social media channels to construct and put together her qualitative observations (Marotta, 2021, p. 124).</w:t>
      </w:r>
    </w:p>
    <w:p w14:paraId="13E50BEC" w14:textId="6400AFD8" w:rsidR="001D233D" w:rsidRPr="001D233D" w:rsidRDefault="001D233D" w:rsidP="001D233D">
      <w:pPr>
        <w:spacing w:after="0" w:line="480" w:lineRule="auto"/>
        <w:ind w:firstLine="720"/>
        <w:rPr>
          <w:rFonts w:ascii="Times New Roman" w:eastAsia="Times New Roman" w:hAnsi="Times New Roman" w:cs="Times New Roman"/>
          <w:kern w:val="0"/>
          <w14:ligatures w14:val="none"/>
        </w:rPr>
      </w:pPr>
      <w:r w:rsidRPr="001D233D">
        <w:rPr>
          <w:rFonts w:ascii="Open Sans" w:eastAsia="Times New Roman" w:hAnsi="Open Sans" w:cs="Open Sans"/>
          <w:color w:val="000000"/>
          <w:kern w:val="0"/>
          <w:sz w:val="22"/>
          <w:szCs w:val="22"/>
          <w14:ligatures w14:val="none"/>
        </w:rPr>
        <w:t>The pivot point of the review occurs when Marotta (2021) shifts her presentation from the objective summary to critical analysis. While Marotta praises Stone’s “tongue-in-cheek humor” and her effective way of exposing various “counting offenders,” she does push back heavily against some of the author’s blind spots. For instance, Marotta flags a significant contradiction in Stone’s argument regarding the judicial system. Stone heavily relies on judges to uphold fairness and the will of the people; however, Marotta critically and rightfully observes that Stone fails to recognize that these judicial individuals are inherently political and subject to their own biased views based on biased and partial statistics (Marotta, 2021, p</w:t>
      </w:r>
      <w:r w:rsidR="00D87FFE">
        <w:rPr>
          <w:rFonts w:ascii="Open Sans" w:eastAsia="Times New Roman" w:hAnsi="Open Sans" w:cs="Open Sans"/>
          <w:color w:val="000000"/>
          <w:kern w:val="0"/>
          <w:sz w:val="22"/>
          <w:szCs w:val="22"/>
          <w14:ligatures w14:val="none"/>
        </w:rPr>
        <w:t>.</w:t>
      </w:r>
      <w:r w:rsidRPr="001D233D">
        <w:rPr>
          <w:rFonts w:ascii="Open Sans" w:eastAsia="Times New Roman" w:hAnsi="Open Sans" w:cs="Open Sans"/>
          <w:color w:val="000000"/>
          <w:kern w:val="0"/>
          <w:sz w:val="22"/>
          <w:szCs w:val="22"/>
          <w14:ligatures w14:val="none"/>
        </w:rPr>
        <w:t xml:space="preserve"> 125).</w:t>
      </w:r>
    </w:p>
    <w:p w14:paraId="55071036" w14:textId="0941D239" w:rsidR="001D233D" w:rsidRPr="001D233D" w:rsidRDefault="001D233D" w:rsidP="001D233D">
      <w:pPr>
        <w:spacing w:after="0" w:line="480" w:lineRule="auto"/>
        <w:ind w:firstLine="720"/>
        <w:rPr>
          <w:rFonts w:ascii="Times New Roman" w:eastAsia="Times New Roman" w:hAnsi="Times New Roman" w:cs="Times New Roman"/>
          <w:kern w:val="0"/>
          <w14:ligatures w14:val="none"/>
        </w:rPr>
      </w:pPr>
      <w:r w:rsidRPr="001D233D">
        <w:rPr>
          <w:rFonts w:ascii="Open Sans" w:eastAsia="Times New Roman" w:hAnsi="Open Sans" w:cs="Open Sans"/>
          <w:color w:val="000000"/>
          <w:kern w:val="0"/>
          <w:sz w:val="22"/>
          <w:szCs w:val="22"/>
          <w14:ligatures w14:val="none"/>
        </w:rPr>
        <w:t>More importantly, Marotta (2021) cautions against Stone’s extreme cynicism toward quantitative metrics in our society. Stone’s position is so strong that it borders on suggesting that our society might be better off by discarding certain metrics. Marotta counters this by arguing that we must not forget the power that data possesses to illuminate marginalized populations. To prove this and to emphasize this argument, Marotta references the recent tragic discovery of 215 Indigenous children that were found in a mass grave at a former Canadian residential school. For decades there were stories of missing Indigenous children, but it was not until the concrete number “215” was brought forth following the publicized discovery of the mass grave that the issue gained traction. This number, now a symbol, has helped to progress the country’s moral policy efforts forward (Marotta, 2021, p</w:t>
      </w:r>
      <w:r w:rsidR="00D87FFE">
        <w:rPr>
          <w:rFonts w:ascii="Open Sans" w:eastAsia="Times New Roman" w:hAnsi="Open Sans" w:cs="Open Sans"/>
          <w:color w:val="000000"/>
          <w:kern w:val="0"/>
          <w:sz w:val="22"/>
          <w:szCs w:val="22"/>
          <w14:ligatures w14:val="none"/>
        </w:rPr>
        <w:t>.</w:t>
      </w:r>
      <w:r w:rsidRPr="001D233D">
        <w:rPr>
          <w:rFonts w:ascii="Open Sans" w:eastAsia="Times New Roman" w:hAnsi="Open Sans" w:cs="Open Sans"/>
          <w:color w:val="000000"/>
          <w:kern w:val="0"/>
          <w:sz w:val="22"/>
          <w:szCs w:val="22"/>
          <w14:ligatures w14:val="none"/>
        </w:rPr>
        <w:t xml:space="preserve"> 125).</w:t>
      </w:r>
    </w:p>
    <w:p w14:paraId="0B05B94B" w14:textId="11642F11" w:rsidR="001D233D" w:rsidRPr="001D233D" w:rsidRDefault="001D233D" w:rsidP="001D233D">
      <w:pPr>
        <w:spacing w:after="0" w:line="480" w:lineRule="auto"/>
        <w:ind w:firstLine="720"/>
        <w:rPr>
          <w:rFonts w:ascii="Times New Roman" w:eastAsia="Times New Roman" w:hAnsi="Times New Roman" w:cs="Times New Roman"/>
          <w:kern w:val="0"/>
          <w14:ligatures w14:val="none"/>
        </w:rPr>
      </w:pPr>
      <w:r w:rsidRPr="001D233D">
        <w:rPr>
          <w:rFonts w:ascii="Open Sans" w:eastAsia="Times New Roman" w:hAnsi="Open Sans" w:cs="Open Sans"/>
          <w:color w:val="000000"/>
          <w:kern w:val="0"/>
          <w:sz w:val="22"/>
          <w:szCs w:val="22"/>
          <w14:ligatures w14:val="none"/>
        </w:rPr>
        <w:lastRenderedPageBreak/>
        <w:t>Overall, this evaluation process has provided me with a clear blueprint for the format and the process an academic book review follows (San Jose State University Writing Center, n.d</w:t>
      </w:r>
      <w:r w:rsidR="00D87FFE">
        <w:rPr>
          <w:rFonts w:ascii="Open Sans" w:eastAsia="Times New Roman" w:hAnsi="Open Sans" w:cs="Open Sans"/>
          <w:color w:val="000000"/>
          <w:kern w:val="0"/>
          <w:sz w:val="22"/>
          <w:szCs w:val="22"/>
          <w14:ligatures w14:val="none"/>
        </w:rPr>
        <w:t>.</w:t>
      </w:r>
      <w:r w:rsidRPr="001D233D">
        <w:rPr>
          <w:rFonts w:ascii="Open Sans" w:eastAsia="Times New Roman" w:hAnsi="Open Sans" w:cs="Open Sans"/>
          <w:color w:val="000000"/>
          <w:kern w:val="0"/>
          <w:sz w:val="22"/>
          <w:szCs w:val="22"/>
          <w14:ligatures w14:val="none"/>
        </w:rPr>
        <w:t>). Successful reviewers must quickly introduce the subject, they must provide contextual background, and explain the specific literature gap the book attempts to fill. The reviewer must then present a neutral, objective summary of the author’s main arguments – assertions, chapter progression, and supporting evidence. Finally, the reviewer must execute a critical pivot in which they offer their own analytical insights regarding the author’s methodological strengths and weaknesses before delivering a final recommendation and conclusion. For my own book review assignment in Module 6, I will ensure I do not merely summarize the text, but that I do an effective job to actively interrogate its assumptions and biases just as Marotta did.</w:t>
      </w:r>
    </w:p>
    <w:p w14:paraId="49E3082F" w14:textId="77777777" w:rsidR="001D233D" w:rsidRDefault="001D233D" w:rsidP="001D233D">
      <w:pPr>
        <w:spacing w:after="0" w:line="480" w:lineRule="auto"/>
        <w:rPr>
          <w:rFonts w:ascii="Open Sans" w:eastAsia="Times New Roman" w:hAnsi="Open Sans" w:cs="Open Sans"/>
          <w:b/>
          <w:bCs/>
          <w:color w:val="000000"/>
          <w:kern w:val="0"/>
          <w:sz w:val="22"/>
          <w:szCs w:val="22"/>
          <w14:ligatures w14:val="none"/>
        </w:rPr>
      </w:pPr>
    </w:p>
    <w:p w14:paraId="75A22545" w14:textId="6CC7D92A" w:rsidR="001D233D" w:rsidRPr="001D233D" w:rsidRDefault="001D233D" w:rsidP="001D233D">
      <w:pPr>
        <w:spacing w:after="0" w:line="480" w:lineRule="auto"/>
        <w:rPr>
          <w:rFonts w:ascii="Times New Roman" w:eastAsia="Times New Roman" w:hAnsi="Times New Roman" w:cs="Times New Roman"/>
          <w:kern w:val="0"/>
          <w14:ligatures w14:val="none"/>
        </w:rPr>
      </w:pPr>
      <w:r w:rsidRPr="001D233D">
        <w:rPr>
          <w:rFonts w:ascii="Open Sans" w:eastAsia="Times New Roman" w:hAnsi="Open Sans" w:cs="Open Sans"/>
          <w:b/>
          <w:bCs/>
          <w:color w:val="000000"/>
          <w:kern w:val="0"/>
          <w:sz w:val="22"/>
          <w:szCs w:val="22"/>
          <w14:ligatures w14:val="none"/>
        </w:rPr>
        <w:t>Part II: Module 6 Book Selection</w:t>
      </w:r>
    </w:p>
    <w:p w14:paraId="687CBCA7" w14:textId="77777777" w:rsidR="001D233D" w:rsidRPr="001D233D" w:rsidRDefault="001D233D" w:rsidP="001D233D">
      <w:pPr>
        <w:spacing w:after="0" w:line="480" w:lineRule="auto"/>
        <w:ind w:firstLine="720"/>
        <w:rPr>
          <w:rFonts w:ascii="Times New Roman" w:eastAsia="Times New Roman" w:hAnsi="Times New Roman" w:cs="Times New Roman"/>
          <w:kern w:val="0"/>
          <w14:ligatures w14:val="none"/>
        </w:rPr>
      </w:pPr>
      <w:r w:rsidRPr="001D233D">
        <w:rPr>
          <w:rFonts w:ascii="Open Sans" w:eastAsia="Times New Roman" w:hAnsi="Open Sans" w:cs="Open Sans"/>
          <w:color w:val="000000"/>
          <w:kern w:val="0"/>
          <w:sz w:val="22"/>
          <w:szCs w:val="22"/>
          <w14:ligatures w14:val="none"/>
        </w:rPr>
        <w:t xml:space="preserve">For my Book Review Assignment in Module 6, I have chosen Carol H. Weiss’s (1991) Organizations for Policy Analysis: Helping Government Think. I selected this book because it aligns perfectly with some of the work I am doing for my dissertation regarding macroeconomic public policy and the implementation of digital healthcare infrastructures. Specifically, Weiss’s work provides theoretical insights into how fragmented government agencies process information and how they integrate data-driven insight platforms. As emerging economies attempt to modernize their own healthcare systems, there is a crucial need to transition away from disjointed, legacy Electronic Health Record (EHR) systems or </w:t>
      </w:r>
      <w:r w:rsidRPr="001D233D">
        <w:rPr>
          <w:rFonts w:ascii="Open Sans" w:eastAsia="Times New Roman" w:hAnsi="Open Sans" w:cs="Open Sans"/>
          <w:color w:val="000000"/>
          <w:kern w:val="0"/>
          <w:sz w:val="22"/>
          <w:szCs w:val="22"/>
          <w14:ligatures w14:val="none"/>
        </w:rPr>
        <w:lastRenderedPageBreak/>
        <w:t>no systems at all and move toward a unified clinical decision support process and digital pipeline.</w:t>
      </w:r>
    </w:p>
    <w:p w14:paraId="145E44C9" w14:textId="77777777" w:rsidR="001D233D" w:rsidRPr="001D233D" w:rsidRDefault="001D233D" w:rsidP="001D233D">
      <w:pPr>
        <w:spacing w:after="0" w:line="480" w:lineRule="auto"/>
        <w:ind w:firstLine="720"/>
        <w:rPr>
          <w:rFonts w:ascii="Times New Roman" w:eastAsia="Times New Roman" w:hAnsi="Times New Roman" w:cs="Times New Roman"/>
          <w:kern w:val="0"/>
          <w14:ligatures w14:val="none"/>
        </w:rPr>
      </w:pPr>
      <w:r w:rsidRPr="001D233D">
        <w:rPr>
          <w:rFonts w:ascii="Open Sans" w:eastAsia="Times New Roman" w:hAnsi="Open Sans" w:cs="Open Sans"/>
          <w:color w:val="000000"/>
          <w:kern w:val="0"/>
          <w:sz w:val="22"/>
          <w:szCs w:val="22"/>
          <w14:ligatures w14:val="none"/>
        </w:rPr>
        <w:t>I strongly believe that to create effective public policies which will help emerging economies provide more equitable and efficient healthcare to its citizens, policy makers must have the right information on hand, functioning as “just weights” for equitable resource distribution and access. I believe Weiss’s text will shed light on the systemic gaps in how government bureaucracies currently digest analytical research and data. Reading and critiquing this book will not only provide me with the opportunity to practice the academic review framework process outlined in Part 1 of this paper, but it will also provide me with foundational literature for my own dissertation regarding institutional data governance.</w:t>
      </w:r>
    </w:p>
    <w:p w14:paraId="7F819EFE" w14:textId="77777777" w:rsidR="001D233D" w:rsidRPr="001D233D" w:rsidRDefault="001D233D" w:rsidP="001D233D">
      <w:pPr>
        <w:spacing w:after="0" w:line="480" w:lineRule="auto"/>
        <w:rPr>
          <w:rFonts w:ascii="Times New Roman" w:eastAsia="Times New Roman" w:hAnsi="Times New Roman" w:cs="Times New Roman"/>
          <w:kern w:val="0"/>
          <w14:ligatures w14:val="none"/>
        </w:rPr>
      </w:pPr>
      <w:r w:rsidRPr="001D233D">
        <w:rPr>
          <w:rFonts w:ascii="Open Sans" w:eastAsia="Times New Roman" w:hAnsi="Open Sans" w:cs="Open Sans"/>
          <w:color w:val="000000"/>
          <w:kern w:val="0"/>
          <w:sz w:val="22"/>
          <w:szCs w:val="22"/>
          <w14:ligatures w14:val="none"/>
        </w:rPr>
        <w:t> </w:t>
      </w:r>
    </w:p>
    <w:p w14:paraId="2ABD7D85" w14:textId="77777777" w:rsidR="001D233D" w:rsidRPr="001D233D" w:rsidRDefault="001D233D" w:rsidP="001D233D">
      <w:pPr>
        <w:spacing w:after="0" w:line="480" w:lineRule="auto"/>
        <w:rPr>
          <w:rFonts w:ascii="Times New Roman" w:eastAsia="Times New Roman" w:hAnsi="Times New Roman" w:cs="Times New Roman"/>
          <w:kern w:val="0"/>
          <w14:ligatures w14:val="none"/>
        </w:rPr>
      </w:pPr>
      <w:r w:rsidRPr="001D233D">
        <w:rPr>
          <w:rFonts w:ascii="Open Sans" w:eastAsia="Times New Roman" w:hAnsi="Open Sans" w:cs="Open Sans"/>
          <w:color w:val="000000"/>
          <w:kern w:val="0"/>
          <w:sz w:val="22"/>
          <w:szCs w:val="22"/>
          <w14:ligatures w14:val="none"/>
        </w:rPr>
        <w:t> </w:t>
      </w:r>
    </w:p>
    <w:p w14:paraId="42852BE9" w14:textId="77777777" w:rsidR="001D233D" w:rsidRPr="001D233D" w:rsidRDefault="001D233D" w:rsidP="001D233D">
      <w:pPr>
        <w:spacing w:after="0" w:line="480" w:lineRule="auto"/>
        <w:rPr>
          <w:rFonts w:ascii="Times New Roman" w:eastAsia="Times New Roman" w:hAnsi="Times New Roman" w:cs="Times New Roman"/>
          <w:kern w:val="0"/>
          <w14:ligatures w14:val="none"/>
        </w:rPr>
      </w:pPr>
      <w:r w:rsidRPr="001D233D">
        <w:rPr>
          <w:rFonts w:ascii="Open Sans" w:eastAsia="Times New Roman" w:hAnsi="Open Sans" w:cs="Open Sans"/>
          <w:color w:val="000000"/>
          <w:kern w:val="0"/>
          <w:sz w:val="22"/>
          <w:szCs w:val="22"/>
          <w14:ligatures w14:val="none"/>
        </w:rPr>
        <w:t>References</w:t>
      </w:r>
    </w:p>
    <w:p w14:paraId="09F26642" w14:textId="77777777" w:rsidR="001D233D" w:rsidRPr="001D233D" w:rsidRDefault="001D233D" w:rsidP="001D233D">
      <w:pPr>
        <w:spacing w:after="0" w:line="480" w:lineRule="auto"/>
        <w:rPr>
          <w:rFonts w:ascii="Times New Roman" w:eastAsia="Times New Roman" w:hAnsi="Times New Roman" w:cs="Times New Roman"/>
          <w:kern w:val="0"/>
          <w14:ligatures w14:val="none"/>
        </w:rPr>
      </w:pPr>
      <w:r w:rsidRPr="001D233D">
        <w:rPr>
          <w:rFonts w:ascii="Open Sans" w:eastAsia="Times New Roman" w:hAnsi="Open Sans" w:cs="Open Sans"/>
          <w:color w:val="000000"/>
          <w:kern w:val="0"/>
          <w:sz w:val="22"/>
          <w:szCs w:val="22"/>
          <w14:ligatures w14:val="none"/>
        </w:rPr>
        <w:t> </w:t>
      </w:r>
    </w:p>
    <w:p w14:paraId="3349B8EF" w14:textId="77777777" w:rsidR="001D233D" w:rsidRPr="001D233D" w:rsidRDefault="001D233D" w:rsidP="001D233D">
      <w:pPr>
        <w:spacing w:after="0" w:line="480" w:lineRule="auto"/>
        <w:rPr>
          <w:rFonts w:ascii="Times New Roman" w:eastAsia="Times New Roman" w:hAnsi="Times New Roman" w:cs="Times New Roman"/>
          <w:kern w:val="0"/>
          <w14:ligatures w14:val="none"/>
        </w:rPr>
      </w:pPr>
      <w:r w:rsidRPr="001D233D">
        <w:rPr>
          <w:rFonts w:ascii="Open Sans" w:eastAsia="Times New Roman" w:hAnsi="Open Sans" w:cs="Open Sans"/>
          <w:color w:val="000000"/>
          <w:kern w:val="0"/>
          <w:sz w:val="22"/>
          <w:szCs w:val="22"/>
          <w14:ligatures w14:val="none"/>
        </w:rPr>
        <w:t xml:space="preserve">Marotta, L. (2021). Book review: </w:t>
      </w:r>
      <w:r w:rsidRPr="00D87FFE">
        <w:rPr>
          <w:rFonts w:ascii="Open Sans" w:eastAsia="Times New Roman" w:hAnsi="Open Sans" w:cs="Open Sans"/>
          <w:i/>
          <w:iCs/>
          <w:color w:val="000000"/>
          <w:kern w:val="0"/>
          <w:sz w:val="22"/>
          <w:szCs w:val="22"/>
          <w14:ligatures w14:val="none"/>
        </w:rPr>
        <w:t>Counting: How we use numbers to decide what matters</w:t>
      </w:r>
      <w:r w:rsidRPr="001D233D">
        <w:rPr>
          <w:rFonts w:ascii="Open Sans" w:eastAsia="Times New Roman" w:hAnsi="Open Sans" w:cs="Open Sans"/>
          <w:color w:val="000000"/>
          <w:kern w:val="0"/>
          <w:sz w:val="22"/>
          <w:szCs w:val="22"/>
          <w14:ligatures w14:val="none"/>
        </w:rPr>
        <w:t>. Canadian Journal of Educational Administration and Policy, 198, 124–125. https://journalhosting.ucalgary.ca/index.php/cjeap/article/view/73652</w:t>
      </w:r>
    </w:p>
    <w:p w14:paraId="2E488330" w14:textId="77777777" w:rsidR="001D233D" w:rsidRPr="001D233D" w:rsidRDefault="001D233D" w:rsidP="001D233D">
      <w:pPr>
        <w:spacing w:after="0" w:line="480" w:lineRule="auto"/>
        <w:rPr>
          <w:rFonts w:ascii="Times New Roman" w:eastAsia="Times New Roman" w:hAnsi="Times New Roman" w:cs="Times New Roman"/>
          <w:kern w:val="0"/>
          <w14:ligatures w14:val="none"/>
        </w:rPr>
      </w:pPr>
      <w:r w:rsidRPr="001D233D">
        <w:rPr>
          <w:rFonts w:ascii="Open Sans" w:eastAsia="Times New Roman" w:hAnsi="Open Sans" w:cs="Open Sans"/>
          <w:color w:val="000000"/>
          <w:kern w:val="0"/>
          <w:sz w:val="22"/>
          <w:szCs w:val="22"/>
          <w14:ligatures w14:val="none"/>
        </w:rPr>
        <w:t> </w:t>
      </w:r>
    </w:p>
    <w:p w14:paraId="2EDDA487" w14:textId="77777777" w:rsidR="001D233D" w:rsidRPr="001D233D" w:rsidRDefault="001D233D" w:rsidP="001D233D">
      <w:pPr>
        <w:spacing w:after="0" w:line="480" w:lineRule="auto"/>
        <w:rPr>
          <w:rFonts w:ascii="Times New Roman" w:eastAsia="Times New Roman" w:hAnsi="Times New Roman" w:cs="Times New Roman"/>
          <w:kern w:val="0"/>
          <w14:ligatures w14:val="none"/>
        </w:rPr>
      </w:pPr>
      <w:r w:rsidRPr="001D233D">
        <w:rPr>
          <w:rFonts w:ascii="Open Sans" w:eastAsia="Times New Roman" w:hAnsi="Open Sans" w:cs="Open Sans"/>
          <w:color w:val="000000"/>
          <w:kern w:val="0"/>
          <w:sz w:val="22"/>
          <w:szCs w:val="22"/>
          <w14:ligatures w14:val="none"/>
        </w:rPr>
        <w:t xml:space="preserve">Stone, D. (2020). </w:t>
      </w:r>
      <w:r w:rsidRPr="00D87FFE">
        <w:rPr>
          <w:rFonts w:ascii="Open Sans" w:eastAsia="Times New Roman" w:hAnsi="Open Sans" w:cs="Open Sans"/>
          <w:i/>
          <w:iCs/>
          <w:color w:val="000000"/>
          <w:kern w:val="0"/>
          <w:sz w:val="22"/>
          <w:szCs w:val="22"/>
          <w14:ligatures w14:val="none"/>
        </w:rPr>
        <w:t>Counting: How we use numbers to decide what matters</w:t>
      </w:r>
      <w:r w:rsidRPr="001D233D">
        <w:rPr>
          <w:rFonts w:ascii="Open Sans" w:eastAsia="Times New Roman" w:hAnsi="Open Sans" w:cs="Open Sans"/>
          <w:color w:val="000000"/>
          <w:kern w:val="0"/>
          <w:sz w:val="22"/>
          <w:szCs w:val="22"/>
          <w14:ligatures w14:val="none"/>
        </w:rPr>
        <w:t>. Liveright Publishing Corporation.</w:t>
      </w:r>
    </w:p>
    <w:p w14:paraId="07FD8B97" w14:textId="77777777" w:rsidR="001D233D" w:rsidRPr="001D233D" w:rsidRDefault="001D233D" w:rsidP="001D233D">
      <w:pPr>
        <w:spacing w:after="0" w:line="480" w:lineRule="auto"/>
        <w:rPr>
          <w:rFonts w:ascii="Times New Roman" w:eastAsia="Times New Roman" w:hAnsi="Times New Roman" w:cs="Times New Roman"/>
          <w:kern w:val="0"/>
          <w14:ligatures w14:val="none"/>
        </w:rPr>
      </w:pPr>
      <w:r w:rsidRPr="001D233D">
        <w:rPr>
          <w:rFonts w:ascii="Open Sans" w:eastAsia="Times New Roman" w:hAnsi="Open Sans" w:cs="Open Sans"/>
          <w:color w:val="000000"/>
          <w:kern w:val="0"/>
          <w:sz w:val="22"/>
          <w:szCs w:val="22"/>
          <w14:ligatures w14:val="none"/>
        </w:rPr>
        <w:t> </w:t>
      </w:r>
    </w:p>
    <w:p w14:paraId="24E0CA57" w14:textId="77777777" w:rsidR="001D233D" w:rsidRPr="001D233D" w:rsidRDefault="001D233D" w:rsidP="001D233D">
      <w:pPr>
        <w:spacing w:after="0" w:line="480" w:lineRule="auto"/>
        <w:rPr>
          <w:rFonts w:ascii="Times New Roman" w:eastAsia="Times New Roman" w:hAnsi="Times New Roman" w:cs="Times New Roman"/>
          <w:kern w:val="0"/>
          <w14:ligatures w14:val="none"/>
        </w:rPr>
      </w:pPr>
      <w:r w:rsidRPr="001D233D">
        <w:rPr>
          <w:rFonts w:ascii="Open Sans" w:eastAsia="Times New Roman" w:hAnsi="Open Sans" w:cs="Open Sans"/>
          <w:color w:val="000000"/>
          <w:kern w:val="0"/>
          <w:sz w:val="22"/>
          <w:szCs w:val="22"/>
          <w14:ligatures w14:val="none"/>
        </w:rPr>
        <w:lastRenderedPageBreak/>
        <w:t xml:space="preserve">Weiss, C. H. (1991). </w:t>
      </w:r>
      <w:r w:rsidRPr="00D87FFE">
        <w:rPr>
          <w:rFonts w:ascii="Open Sans" w:eastAsia="Times New Roman" w:hAnsi="Open Sans" w:cs="Open Sans"/>
          <w:i/>
          <w:iCs/>
          <w:color w:val="000000"/>
          <w:kern w:val="0"/>
          <w:sz w:val="22"/>
          <w:szCs w:val="22"/>
          <w14:ligatures w14:val="none"/>
        </w:rPr>
        <w:t>Organizations for policy analysis: Helping government think</w:t>
      </w:r>
      <w:r w:rsidRPr="001D233D">
        <w:rPr>
          <w:rFonts w:ascii="Open Sans" w:eastAsia="Times New Roman" w:hAnsi="Open Sans" w:cs="Open Sans"/>
          <w:color w:val="000000"/>
          <w:kern w:val="0"/>
          <w:sz w:val="22"/>
          <w:szCs w:val="22"/>
          <w14:ligatures w14:val="none"/>
        </w:rPr>
        <w:t>. Sage Publications.</w:t>
      </w:r>
    </w:p>
    <w:p w14:paraId="5EBF4511" w14:textId="77777777" w:rsidR="001D233D" w:rsidRPr="001D233D" w:rsidRDefault="001D233D" w:rsidP="001D233D">
      <w:pPr>
        <w:spacing w:after="0" w:line="480" w:lineRule="auto"/>
        <w:rPr>
          <w:rFonts w:ascii="Times New Roman" w:eastAsia="Times New Roman" w:hAnsi="Times New Roman" w:cs="Times New Roman"/>
          <w:kern w:val="0"/>
          <w14:ligatures w14:val="none"/>
        </w:rPr>
      </w:pPr>
      <w:r w:rsidRPr="001D233D">
        <w:rPr>
          <w:rFonts w:ascii="Open Sans" w:eastAsia="Times New Roman" w:hAnsi="Open Sans" w:cs="Open Sans"/>
          <w:color w:val="000000"/>
          <w:kern w:val="0"/>
          <w:sz w:val="22"/>
          <w:szCs w:val="22"/>
          <w14:ligatures w14:val="none"/>
        </w:rPr>
        <w:t> </w:t>
      </w:r>
    </w:p>
    <w:p w14:paraId="6AC998BB" w14:textId="77777777" w:rsidR="001D233D" w:rsidRPr="001D233D" w:rsidRDefault="001D233D" w:rsidP="001D233D">
      <w:pPr>
        <w:spacing w:after="0" w:line="480" w:lineRule="auto"/>
        <w:rPr>
          <w:rFonts w:ascii="Times New Roman" w:eastAsia="Times New Roman" w:hAnsi="Times New Roman" w:cs="Times New Roman"/>
          <w:kern w:val="0"/>
          <w14:ligatures w14:val="none"/>
        </w:rPr>
      </w:pPr>
      <w:r w:rsidRPr="001D233D">
        <w:rPr>
          <w:rFonts w:ascii="Open Sans" w:eastAsia="Times New Roman" w:hAnsi="Open Sans" w:cs="Open Sans"/>
          <w:color w:val="000000"/>
          <w:kern w:val="0"/>
          <w:sz w:val="22"/>
          <w:szCs w:val="22"/>
          <w14:ligatures w14:val="none"/>
        </w:rPr>
        <w:t>San José State University Writing Center. (n.d.). How to write an academic book review. https://www.sjsu.edu/writingcenter/docs/handouts/Academic%20Book%20Reviews.V2.pdf</w:t>
      </w:r>
    </w:p>
    <w:p w14:paraId="52F52BED" w14:textId="77777777" w:rsidR="001D233D" w:rsidRPr="001D233D" w:rsidRDefault="001D233D" w:rsidP="001D233D">
      <w:pPr>
        <w:spacing w:after="0" w:line="240" w:lineRule="auto"/>
        <w:rPr>
          <w:rFonts w:ascii="Times New Roman" w:eastAsia="Times New Roman" w:hAnsi="Times New Roman" w:cs="Times New Roman"/>
          <w:kern w:val="0"/>
          <w14:ligatures w14:val="none"/>
        </w:rPr>
      </w:pPr>
    </w:p>
    <w:p w14:paraId="470F5056" w14:textId="26BBE63E" w:rsidR="000C4E12" w:rsidRDefault="000C4E12" w:rsidP="0027795B">
      <w:pPr>
        <w:spacing w:after="0" w:line="480" w:lineRule="auto"/>
        <w:contextualSpacing/>
      </w:pPr>
    </w:p>
    <w:sectPr w:rsidR="000C4E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768"/>
    <w:rsid w:val="000C4E12"/>
    <w:rsid w:val="001D233D"/>
    <w:rsid w:val="00231593"/>
    <w:rsid w:val="002620CF"/>
    <w:rsid w:val="0027795B"/>
    <w:rsid w:val="00364768"/>
    <w:rsid w:val="0061087B"/>
    <w:rsid w:val="006B35B3"/>
    <w:rsid w:val="00930C69"/>
    <w:rsid w:val="00941513"/>
    <w:rsid w:val="00A351B2"/>
    <w:rsid w:val="00B506D0"/>
    <w:rsid w:val="00B5283C"/>
    <w:rsid w:val="00C330F9"/>
    <w:rsid w:val="00D87FFE"/>
    <w:rsid w:val="00DB63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2291963"/>
  <w15:chartTrackingRefBased/>
  <w15:docId w15:val="{D747CD08-8299-B942-BE74-3EB154508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7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47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47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47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47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47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7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7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7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7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47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47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47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47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4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768"/>
    <w:rPr>
      <w:rFonts w:eastAsiaTheme="majorEastAsia" w:cstheme="majorBidi"/>
      <w:color w:val="272727" w:themeColor="text1" w:themeTint="D8"/>
    </w:rPr>
  </w:style>
  <w:style w:type="paragraph" w:styleId="Title">
    <w:name w:val="Title"/>
    <w:basedOn w:val="Normal"/>
    <w:next w:val="Normal"/>
    <w:link w:val="TitleChar"/>
    <w:uiPriority w:val="10"/>
    <w:qFormat/>
    <w:rsid w:val="00364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7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7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768"/>
    <w:pPr>
      <w:spacing w:before="160"/>
      <w:jc w:val="center"/>
    </w:pPr>
    <w:rPr>
      <w:i/>
      <w:iCs/>
      <w:color w:val="404040" w:themeColor="text1" w:themeTint="BF"/>
    </w:rPr>
  </w:style>
  <w:style w:type="character" w:customStyle="1" w:styleId="QuoteChar">
    <w:name w:val="Quote Char"/>
    <w:basedOn w:val="DefaultParagraphFont"/>
    <w:link w:val="Quote"/>
    <w:uiPriority w:val="29"/>
    <w:rsid w:val="00364768"/>
    <w:rPr>
      <w:i/>
      <w:iCs/>
      <w:color w:val="404040" w:themeColor="text1" w:themeTint="BF"/>
    </w:rPr>
  </w:style>
  <w:style w:type="paragraph" w:styleId="ListParagraph">
    <w:name w:val="List Paragraph"/>
    <w:basedOn w:val="Normal"/>
    <w:uiPriority w:val="34"/>
    <w:qFormat/>
    <w:rsid w:val="00364768"/>
    <w:pPr>
      <w:ind w:left="720"/>
      <w:contextualSpacing/>
    </w:pPr>
  </w:style>
  <w:style w:type="character" w:styleId="IntenseEmphasis">
    <w:name w:val="Intense Emphasis"/>
    <w:basedOn w:val="DefaultParagraphFont"/>
    <w:uiPriority w:val="21"/>
    <w:qFormat/>
    <w:rsid w:val="00364768"/>
    <w:rPr>
      <w:i/>
      <w:iCs/>
      <w:color w:val="0F4761" w:themeColor="accent1" w:themeShade="BF"/>
    </w:rPr>
  </w:style>
  <w:style w:type="paragraph" w:styleId="IntenseQuote">
    <w:name w:val="Intense Quote"/>
    <w:basedOn w:val="Normal"/>
    <w:next w:val="Normal"/>
    <w:link w:val="IntenseQuoteChar"/>
    <w:uiPriority w:val="30"/>
    <w:qFormat/>
    <w:rsid w:val="003647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4768"/>
    <w:rPr>
      <w:i/>
      <w:iCs/>
      <w:color w:val="0F4761" w:themeColor="accent1" w:themeShade="BF"/>
    </w:rPr>
  </w:style>
  <w:style w:type="character" w:styleId="IntenseReference">
    <w:name w:val="Intense Reference"/>
    <w:basedOn w:val="DefaultParagraphFont"/>
    <w:uiPriority w:val="32"/>
    <w:qFormat/>
    <w:rsid w:val="00364768"/>
    <w:rPr>
      <w:b/>
      <w:bCs/>
      <w:smallCaps/>
      <w:color w:val="0F4761" w:themeColor="accent1" w:themeShade="BF"/>
      <w:spacing w:val="5"/>
    </w:rPr>
  </w:style>
  <w:style w:type="paragraph" w:styleId="NormalWeb">
    <w:name w:val="Normal (Web)"/>
    <w:basedOn w:val="Normal"/>
    <w:uiPriority w:val="99"/>
    <w:semiHidden/>
    <w:unhideWhenUsed/>
    <w:rsid w:val="0036476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27795B"/>
    <w:rPr>
      <w:color w:val="467886" w:themeColor="hyperlink"/>
      <w:u w:val="single"/>
    </w:rPr>
  </w:style>
  <w:style w:type="character" w:styleId="UnresolvedMention">
    <w:name w:val="Unresolved Mention"/>
    <w:basedOn w:val="DefaultParagraphFont"/>
    <w:uiPriority w:val="99"/>
    <w:semiHidden/>
    <w:unhideWhenUsed/>
    <w:rsid w:val="002779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6</Pages>
  <Words>1018</Words>
  <Characters>5804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Ellen Jones</dc:creator>
  <cp:keywords/>
  <dc:description/>
  <cp:lastModifiedBy>Ellen Jones</cp:lastModifiedBy>
  <cp:revision>4</cp:revision>
  <dcterms:created xsi:type="dcterms:W3CDTF">2026-09-10T12:51:00Z</dcterms:created>
  <dcterms:modified xsi:type="dcterms:W3CDTF">2026-09-10T16:53:00Z</dcterms:modified>
</cp:coreProperties>
</file>