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62D0CF" w14:textId="77777777" w:rsidR="00976F80" w:rsidRDefault="00976F80" w:rsidP="00976F80">
      <w:pPr>
        <w:spacing w:after="0" w:line="240" w:lineRule="auto"/>
        <w:jc w:val="center"/>
        <w:rPr>
          <w:b/>
          <w:bCs/>
        </w:rPr>
      </w:pPr>
    </w:p>
    <w:p w14:paraId="06F16766" w14:textId="77777777" w:rsidR="00976F80" w:rsidRDefault="00976F80" w:rsidP="00976F80">
      <w:pPr>
        <w:spacing w:after="0" w:line="240" w:lineRule="auto"/>
        <w:jc w:val="center"/>
        <w:rPr>
          <w:b/>
          <w:bCs/>
        </w:rPr>
      </w:pPr>
    </w:p>
    <w:p w14:paraId="7618717E" w14:textId="77777777" w:rsidR="00976F80" w:rsidRDefault="00976F80" w:rsidP="00976F80">
      <w:pPr>
        <w:spacing w:after="0" w:line="240" w:lineRule="auto"/>
        <w:jc w:val="center"/>
        <w:rPr>
          <w:b/>
          <w:bCs/>
        </w:rPr>
      </w:pPr>
    </w:p>
    <w:p w14:paraId="22C6ECE1" w14:textId="6019EAB2" w:rsidR="00976F80" w:rsidRPr="00E76D6C" w:rsidRDefault="00976F80" w:rsidP="00976F80">
      <w:pPr>
        <w:spacing w:after="0" w:line="240" w:lineRule="auto"/>
        <w:jc w:val="center"/>
        <w:rPr>
          <w:b/>
          <w:bCs/>
        </w:rPr>
      </w:pPr>
      <w:r>
        <w:rPr>
          <w:b/>
          <w:bCs/>
        </w:rPr>
        <w:t>Literature</w:t>
      </w:r>
      <w:r>
        <w:rPr>
          <w:b/>
          <w:bCs/>
        </w:rPr>
        <w:t xml:space="preserve"> Review – Module </w:t>
      </w:r>
      <w:r>
        <w:rPr>
          <w:b/>
          <w:bCs/>
        </w:rPr>
        <w:t>4</w:t>
      </w:r>
    </w:p>
    <w:p w14:paraId="447A4230" w14:textId="77777777" w:rsidR="00976F80" w:rsidRDefault="00976F80" w:rsidP="00976F80">
      <w:pPr>
        <w:spacing w:after="0" w:line="240" w:lineRule="auto"/>
        <w:jc w:val="center"/>
      </w:pPr>
    </w:p>
    <w:p w14:paraId="214A0C19" w14:textId="77777777" w:rsidR="00976F80" w:rsidRDefault="00976F80" w:rsidP="00976F80">
      <w:pPr>
        <w:spacing w:after="0" w:line="240" w:lineRule="auto"/>
        <w:jc w:val="center"/>
      </w:pPr>
    </w:p>
    <w:p w14:paraId="30BEDAB3" w14:textId="77777777" w:rsidR="00976F80" w:rsidRDefault="00976F80" w:rsidP="00976F80">
      <w:pPr>
        <w:spacing w:after="0" w:line="240" w:lineRule="auto"/>
        <w:jc w:val="center"/>
      </w:pPr>
      <w:r>
        <w:t>Martin A. Perez Rodriguez</w:t>
      </w:r>
    </w:p>
    <w:p w14:paraId="24D8C0AC" w14:textId="77777777" w:rsidR="00976F80" w:rsidRDefault="00976F80" w:rsidP="00976F80">
      <w:pPr>
        <w:spacing w:after="0" w:line="240" w:lineRule="auto"/>
        <w:jc w:val="center"/>
      </w:pPr>
    </w:p>
    <w:p w14:paraId="2A645071" w14:textId="77777777" w:rsidR="00976F80" w:rsidRDefault="00976F80" w:rsidP="00976F80">
      <w:pPr>
        <w:spacing w:after="0" w:line="240" w:lineRule="auto"/>
        <w:jc w:val="center"/>
      </w:pPr>
      <w:r>
        <w:t>Department of Public Policy, Liberty University</w:t>
      </w:r>
    </w:p>
    <w:p w14:paraId="656EBD3D" w14:textId="77777777" w:rsidR="00976F80" w:rsidRDefault="00976F80" w:rsidP="00976F80">
      <w:pPr>
        <w:spacing w:after="0" w:line="240" w:lineRule="auto"/>
        <w:jc w:val="center"/>
      </w:pPr>
    </w:p>
    <w:p w14:paraId="645EC438" w14:textId="77777777" w:rsidR="00976F80" w:rsidRDefault="00976F80" w:rsidP="00976F80">
      <w:pPr>
        <w:spacing w:after="0" w:line="240" w:lineRule="auto"/>
        <w:jc w:val="center"/>
      </w:pPr>
      <w:r>
        <w:t>PLCY 700: Foundations of Public Policy</w:t>
      </w:r>
    </w:p>
    <w:p w14:paraId="229A8A3D" w14:textId="77777777" w:rsidR="00976F80" w:rsidRDefault="00976F80" w:rsidP="00976F80">
      <w:pPr>
        <w:spacing w:after="0" w:line="240" w:lineRule="auto"/>
        <w:jc w:val="center"/>
      </w:pPr>
    </w:p>
    <w:p w14:paraId="1DB5FD3C" w14:textId="77777777" w:rsidR="00976F80" w:rsidRDefault="00976F80" w:rsidP="00976F80">
      <w:pPr>
        <w:spacing w:after="0" w:line="240" w:lineRule="auto"/>
        <w:jc w:val="center"/>
      </w:pPr>
      <w:r>
        <w:t xml:space="preserve">Dr. </w:t>
      </w:r>
      <w:r w:rsidRPr="00A95105">
        <w:t>Scott Boykin</w:t>
      </w:r>
    </w:p>
    <w:p w14:paraId="69C0ADAD" w14:textId="77777777" w:rsidR="00976F80" w:rsidRDefault="00976F80" w:rsidP="00976F80">
      <w:pPr>
        <w:spacing w:after="0" w:line="240" w:lineRule="auto"/>
        <w:jc w:val="center"/>
      </w:pPr>
    </w:p>
    <w:p w14:paraId="1FD3BF9C" w14:textId="122B90C3" w:rsidR="00976F80" w:rsidRDefault="00976F80" w:rsidP="00976F80">
      <w:pPr>
        <w:spacing w:after="0" w:line="240" w:lineRule="auto"/>
        <w:jc w:val="center"/>
        <w:rPr>
          <w:rFonts w:ascii="Arial" w:eastAsia="Times New Roman" w:hAnsi="Arial" w:cs="Arial"/>
          <w:color w:val="000000"/>
          <w:kern w:val="0"/>
          <w:sz w:val="22"/>
          <w:szCs w:val="22"/>
          <w14:ligatures w14:val="none"/>
        </w:rPr>
      </w:pPr>
      <w:r>
        <w:t>September 1</w:t>
      </w:r>
      <w:r>
        <w:t>9</w:t>
      </w:r>
      <w:r>
        <w:t>, 2026</w:t>
      </w:r>
    </w:p>
    <w:p w14:paraId="196A7D85"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255E137C"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251E506B"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16FFE095"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71576115"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4034623B"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34A95829"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5FA7F7DB"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49DC7A07"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2A4246D8"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4BA4A050"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05A700B9"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72D35CA5"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319622EC"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67C690AC"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47A907A0"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3A96699B"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375E290A"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32593448"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23378B38"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24E4ADC0"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73EA6062"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0180944E"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3CC61BD3"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17263CEE"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30FC3C25"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579C2E6F"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1DAE2DBF"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3E1DAE8F"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13BE8A4E"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0FCC8A76"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34E88638" w14:textId="77777777" w:rsidR="00976F80" w:rsidRDefault="00976F80" w:rsidP="00976F80">
      <w:pPr>
        <w:spacing w:after="0" w:line="240" w:lineRule="auto"/>
        <w:rPr>
          <w:rFonts w:ascii="Arial" w:eastAsia="Times New Roman" w:hAnsi="Arial" w:cs="Arial"/>
          <w:color w:val="000000"/>
          <w:kern w:val="0"/>
          <w:sz w:val="22"/>
          <w:szCs w:val="22"/>
          <w14:ligatures w14:val="none"/>
        </w:rPr>
      </w:pPr>
    </w:p>
    <w:p w14:paraId="581BC3C3" w14:textId="77777777" w:rsidR="00976F80" w:rsidRDefault="00976F80" w:rsidP="00984F72">
      <w:pPr>
        <w:spacing w:after="0" w:line="480" w:lineRule="auto"/>
        <w:contextualSpacing/>
        <w:rPr>
          <w:rFonts w:ascii="Arial" w:eastAsia="Times New Roman" w:hAnsi="Arial" w:cs="Arial"/>
          <w:b/>
          <w:bCs/>
          <w:color w:val="000000"/>
          <w:kern w:val="0"/>
          <w:sz w:val="22"/>
          <w:szCs w:val="22"/>
          <w14:ligatures w14:val="none"/>
        </w:rPr>
      </w:pPr>
    </w:p>
    <w:p w14:paraId="65C65197" w14:textId="5943C841" w:rsidR="00984F72" w:rsidRPr="00984F72" w:rsidRDefault="00984F72" w:rsidP="00984F72">
      <w:pPr>
        <w:spacing w:after="0" w:line="480" w:lineRule="auto"/>
        <w:contextualSpacing/>
        <w:rPr>
          <w:rFonts w:ascii="Arial" w:eastAsia="Times New Roman" w:hAnsi="Arial" w:cs="Arial"/>
          <w:b/>
          <w:bCs/>
          <w:color w:val="000000"/>
          <w:kern w:val="0"/>
          <w:sz w:val="22"/>
          <w:szCs w:val="22"/>
          <w14:ligatures w14:val="none"/>
        </w:rPr>
      </w:pPr>
      <w:r w:rsidRPr="00984F72">
        <w:rPr>
          <w:rFonts w:ascii="Arial" w:eastAsia="Times New Roman" w:hAnsi="Arial" w:cs="Arial"/>
          <w:b/>
          <w:bCs/>
          <w:color w:val="000000"/>
          <w:kern w:val="0"/>
          <w:sz w:val="22"/>
          <w:szCs w:val="22"/>
          <w14:ligatures w14:val="none"/>
        </w:rPr>
        <w:lastRenderedPageBreak/>
        <w:t>Introduction</w:t>
      </w:r>
    </w:p>
    <w:p w14:paraId="1028E521" w14:textId="15512A09"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This assessment explores ten peer-reviewed journal articles focusing on the intersection of healthcare information systems, technology adoption, and public policies. The evaluation of new technological processes in healthcare, when paired with the right public policies from governments to bless the lives of families and children, remains a primary motivation for my dissertation research. As a team lead of AI Engineers in the healthcare sector, I recognize a vast array of engineering solutions - such as agentic AI, predictive pipelines, and interoperable data architectures and others. However, prior to advancing and promoting any kind of engineering solutions or supporting these with public policy recommendations, researchers must collect rigorous empirical and qualitative data to drive educated, evidence-based decisions. </w:t>
      </w:r>
    </w:p>
    <w:p w14:paraId="0BEAD0B3"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This assignment provides an introductory framework to evaluate the scholarly research process, ensuring sufficient evidence exists to support a robust scientific inquiry into digital health infrastructure. This paper is organized into four primary areas. It first presents the common themes and assumptions found across the selected peer-reviewed journals, followed by a critical analysis of their commonly found weaknesses and methodological limitations. Next, it outlines implications for future research, specifically addressing how empirical gaps must be closed to properly evaluate economic outcomes. Finally, it proposes a falsifiable scientific research question derived from the assessed literature, tailored to explore the shift from reactive to proactive health policy in emerging economies.</w:t>
      </w:r>
    </w:p>
    <w:p w14:paraId="4A550EDC" w14:textId="77777777" w:rsidR="00CF77D3" w:rsidRPr="00984F72" w:rsidRDefault="00CF77D3" w:rsidP="00984F72">
      <w:pPr>
        <w:spacing w:after="0" w:line="480" w:lineRule="auto"/>
        <w:contextualSpacing/>
        <w:rPr>
          <w:rFonts w:ascii="Times New Roman" w:eastAsia="Times New Roman" w:hAnsi="Times New Roman" w:cs="Times New Roman"/>
          <w:b/>
          <w:bCs/>
          <w:kern w:val="0"/>
          <w14:ligatures w14:val="none"/>
        </w:rPr>
      </w:pPr>
      <w:r w:rsidRPr="00984F72">
        <w:rPr>
          <w:rFonts w:ascii="Arial" w:eastAsia="Times New Roman" w:hAnsi="Arial" w:cs="Arial"/>
          <w:b/>
          <w:bCs/>
          <w:color w:val="000000"/>
          <w:kern w:val="0"/>
          <w:sz w:val="22"/>
          <w:szCs w:val="22"/>
          <w14:ligatures w14:val="none"/>
        </w:rPr>
        <w:t>Section 1: Common Themes</w:t>
      </w:r>
    </w:p>
    <w:p w14:paraId="3C27F1BA"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 xml:space="preserve">The reviewed literature contains four primary and recurring themes: (1) technology’s potential for good consistently outpaces real-world adoption; (2) human adoption is gated by people’s readiness to trust and use technical capabilities; (3) social and structural barriers present real blockers to driving healthcare equity independent of technological features; and (4) </w:t>
      </w:r>
      <w:r w:rsidRPr="00CF77D3">
        <w:rPr>
          <w:rFonts w:ascii="Arial" w:eastAsia="Times New Roman" w:hAnsi="Arial" w:cs="Arial"/>
          <w:color w:val="000000"/>
          <w:kern w:val="0"/>
          <w:sz w:val="22"/>
          <w:szCs w:val="22"/>
          <w14:ligatures w14:val="none"/>
        </w:rPr>
        <w:lastRenderedPageBreak/>
        <w:t>user acceptance itself is treated as a fundamental dependent variable dictating the success of healthcare evolution.</w:t>
      </w:r>
    </w:p>
    <w:p w14:paraId="6371444F"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 xml:space="preserve">First, across industries and government sectors, there is incredible acknowledged potential in adopting digital and agentic AI healthcare solutions while simultaneously implementing effective public policies to incubate and distribute those capabilities. The capability and immense value are undeniable; however, these works consistently frame healthcare technology competency as underdeveloped relative to its potential impact on IT-healthcare partnerships and implementations. </w:t>
      </w:r>
      <w:proofErr w:type="spellStart"/>
      <w:r w:rsidRPr="00CF77D3">
        <w:rPr>
          <w:rFonts w:ascii="Arial" w:eastAsia="Times New Roman" w:hAnsi="Arial" w:cs="Arial"/>
          <w:color w:val="000000"/>
          <w:kern w:val="0"/>
          <w:sz w:val="22"/>
          <w:szCs w:val="22"/>
          <w14:ligatures w14:val="none"/>
        </w:rPr>
        <w:t>Alkhwaldi</w:t>
      </w:r>
      <w:proofErr w:type="spellEnd"/>
      <w:r w:rsidRPr="00CF77D3">
        <w:rPr>
          <w:rFonts w:ascii="Arial" w:eastAsia="Times New Roman" w:hAnsi="Arial" w:cs="Arial"/>
          <w:color w:val="000000"/>
          <w:kern w:val="0"/>
          <w:sz w:val="22"/>
          <w:szCs w:val="22"/>
          <w14:ligatures w14:val="none"/>
        </w:rPr>
        <w:t xml:space="preserve"> notes that business intelligence (BI) has “grown in popularity” but suffers from a “lack of exploration” (Alkhwaldi, 2023, p. 2135). Similarly, a Swedish study explicitly cites AI’s “slow and variable uptake,” while </w:t>
      </w:r>
      <w:proofErr w:type="spellStart"/>
      <w:r w:rsidRPr="00CF77D3">
        <w:rPr>
          <w:rFonts w:ascii="Arial" w:eastAsia="Times New Roman" w:hAnsi="Arial" w:cs="Arial"/>
          <w:color w:val="000000"/>
          <w:kern w:val="0"/>
          <w:sz w:val="22"/>
          <w:szCs w:val="22"/>
          <w14:ligatures w14:val="none"/>
        </w:rPr>
        <w:t>Alraja</w:t>
      </w:r>
      <w:proofErr w:type="spellEnd"/>
      <w:r w:rsidRPr="00CF77D3">
        <w:rPr>
          <w:rFonts w:ascii="Arial" w:eastAsia="Times New Roman" w:hAnsi="Arial" w:cs="Arial"/>
          <w:color w:val="000000"/>
          <w:kern w:val="0"/>
          <w:sz w:val="22"/>
          <w:szCs w:val="22"/>
          <w14:ligatures w14:val="none"/>
        </w:rPr>
        <w:t xml:space="preserve"> frames IoT adoption as under-analyzed within clinical contexts. Beaulieu and Bentahar assert that the healthcare supply chain “lags far behind” other industries in digitalization (Beaulieu &amp; Bentahar, 2021, p. 1). Technological advances are often actively resisted by healthcare leaders, contributing to sluggish implementation (Petersson et al., 2022, p. 1). As Wu et al. note, rapid changes in information and communication technology (ICT) will inevitably influence how healthcare services are delivered and used (Wu et al., 2009, p. 72). The macroeconomic significance of this lag cannot be overstated. When the implementation of data-driven policy platforms is delayed by institutional resistance, governments are forced to continue to rely on legacy, retroactive reporting models. In emerging economies, this technological lag directly translates into a reliance on reactive crisis spending rather than proactive, targeted aid allocation and distributions. If health infrastructure cannot process data in near real-time, public policy cannot adapt to immediate human capital needs, resulting in severe financial inefficiencies.</w:t>
      </w:r>
    </w:p>
    <w:p w14:paraId="0B567F71"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 xml:space="preserve">Second, overall adoption is gated by human and organizational trust rather than technical capabilities. The authors of these works isolate critical “soft variables” - including trust, perceived risk, professional autonomy, medical-legal risk, personal medical information </w:t>
      </w:r>
      <w:r w:rsidRPr="00CF77D3">
        <w:rPr>
          <w:rFonts w:ascii="Arial" w:eastAsia="Times New Roman" w:hAnsi="Arial" w:cs="Arial"/>
          <w:color w:val="000000"/>
          <w:kern w:val="0"/>
          <w:sz w:val="22"/>
          <w:szCs w:val="22"/>
          <w14:ligatures w14:val="none"/>
        </w:rPr>
        <w:lastRenderedPageBreak/>
        <w:t xml:space="preserve">breaches, decision-making culture, and change-management capacity - as the true predictors of adoption. These variables frequently appear in quantitative acceptance-modeling literature (such as UTAUT) to measure why doctors, nurses, patients, or administrators choose to adopt or reject medical technologies. </w:t>
      </w:r>
      <w:proofErr w:type="spellStart"/>
      <w:r w:rsidRPr="00CF77D3">
        <w:rPr>
          <w:rFonts w:ascii="Arial" w:eastAsia="Times New Roman" w:hAnsi="Arial" w:cs="Arial"/>
          <w:color w:val="000000"/>
          <w:kern w:val="0"/>
          <w:sz w:val="22"/>
          <w:szCs w:val="22"/>
          <w14:ligatures w14:val="none"/>
        </w:rPr>
        <w:t>Alkhwaldi</w:t>
      </w:r>
      <w:proofErr w:type="spellEnd"/>
      <w:r w:rsidRPr="00CF77D3">
        <w:rPr>
          <w:rFonts w:ascii="Arial" w:eastAsia="Times New Roman" w:hAnsi="Arial" w:cs="Arial"/>
          <w:color w:val="000000"/>
          <w:kern w:val="0"/>
          <w:sz w:val="22"/>
          <w:szCs w:val="22"/>
          <w14:ligatures w14:val="none"/>
        </w:rPr>
        <w:t xml:space="preserve"> observes that medical practitioners often perceive BI systems as an imminent threat to their professional autonomy (Alkhwaldi, 2023, p. 2145). Because new agentic AI systems can offer prescription advice for care planning and provide recommendations during patient counseling sessions, clinicians frequently perceive them as professional intrusions (Alkhwaldi, 2023, p. 2145). Furthermore, Petersson et al. emphasize that if professionals do not trust AI outputs, there is a severe risk they will refuse to use them in their daily clinical practices (Petersson et al., 2022, p. 10). This shared focus on trust reveals a crucial implication for digital public infrastructure (DPI): technical investments by governments will always most likely yield a negative return on investment (ROI) unless they are paired with robust, policy-driven change-management initiatives. Policymakers must realize that funding cloud architectures and machine learning pipelines are insufficient without simultaneously funding the social incubation required to promote the needed institutional trust.</w:t>
      </w:r>
    </w:p>
    <w:p w14:paraId="1063C561"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 xml:space="preserve">Third, structural and social barriers prevent healthcare equity regardless of technological advancements. The literature highlights barriers rooted in language, culture, geography, legal status, and cost, rather than mere information or technological gaps. Coombs et al. identify friction between aspects of patients’ rural identities and modern healthcare systems (Coombs et al., 2022, p. 6). Similarly, </w:t>
      </w:r>
      <w:proofErr w:type="spellStart"/>
      <w:r w:rsidRPr="00CF77D3">
        <w:rPr>
          <w:rFonts w:ascii="Arial" w:eastAsia="Times New Roman" w:hAnsi="Arial" w:cs="Arial"/>
          <w:color w:val="000000"/>
          <w:kern w:val="0"/>
          <w:sz w:val="22"/>
          <w:szCs w:val="22"/>
          <w14:ligatures w14:val="none"/>
        </w:rPr>
        <w:t>Handtke</w:t>
      </w:r>
      <w:proofErr w:type="spellEnd"/>
      <w:r w:rsidRPr="00CF77D3">
        <w:rPr>
          <w:rFonts w:ascii="Arial" w:eastAsia="Times New Roman" w:hAnsi="Arial" w:cs="Arial"/>
          <w:color w:val="000000"/>
          <w:kern w:val="0"/>
          <w:sz w:val="22"/>
          <w:szCs w:val="22"/>
          <w14:ligatures w14:val="none"/>
        </w:rPr>
        <w:t xml:space="preserve"> et al. note that culturally and linguistically diverse patients—such as migrants and refugees—access healthcare services far less than host populations due to distinct legal and linguistic barriers and differences in health beliefs (</w:t>
      </w:r>
      <w:proofErr w:type="spellStart"/>
      <w:r w:rsidRPr="00CF77D3">
        <w:rPr>
          <w:rFonts w:ascii="Arial" w:eastAsia="Times New Roman" w:hAnsi="Arial" w:cs="Arial"/>
          <w:color w:val="000000"/>
          <w:kern w:val="0"/>
          <w:sz w:val="22"/>
          <w:szCs w:val="22"/>
          <w14:ligatures w14:val="none"/>
        </w:rPr>
        <w:t>Handtke</w:t>
      </w:r>
      <w:proofErr w:type="spellEnd"/>
      <w:r w:rsidRPr="00CF77D3">
        <w:rPr>
          <w:rFonts w:ascii="Arial" w:eastAsia="Times New Roman" w:hAnsi="Arial" w:cs="Arial"/>
          <w:color w:val="000000"/>
          <w:kern w:val="0"/>
          <w:sz w:val="22"/>
          <w:szCs w:val="22"/>
          <w14:ligatures w14:val="none"/>
        </w:rPr>
        <w:t xml:space="preserve"> et al., 2019, p. 1). In the context of data engineering and public policy, these barriers manifest as missing or corrupted data. When rural or marginalized populations are excluded from the healthcare system due to structural barriers, their clinical data is never systematically captured. Consequently, any predictive AI models trained on this incomplete infrastructure will be </w:t>
      </w:r>
      <w:r w:rsidRPr="00CF77D3">
        <w:rPr>
          <w:rFonts w:ascii="Arial" w:eastAsia="Times New Roman" w:hAnsi="Arial" w:cs="Arial"/>
          <w:color w:val="000000"/>
          <w:kern w:val="0"/>
          <w:sz w:val="22"/>
          <w:szCs w:val="22"/>
          <w14:ligatures w14:val="none"/>
        </w:rPr>
        <w:lastRenderedPageBreak/>
        <w:t>inherently biased against vulnerable populations. This prevents governments from accurately assessing the holistic health of their human capital, thereby perpetuating inequitable resource allocation. </w:t>
      </w:r>
    </w:p>
    <w:p w14:paraId="032B7B18" w14:textId="1F1C425A"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Lastly, user acceptance functions as a fundamental dependent variable that dictates the overall success of healthcare's ongoing transformation. Sharp’s public health policy survey and the Swedish AI leadership study both frame their core inquiries around whether populations will accept the technology, rather than whether the technology simply functions technically. Sharp emphasizes that for public health policies to be effective, they must fundamentally be viewed as acceptable policies and processes that yield favorable results (Sharp et al., 2020, p. 802). Understanding healthcare leaders' perspectives is equally critical, as they dictate the implementation process of new technologies (Petersson et al., 2022, p. 1, 3). This underscores a vital assumption in the literature: acceptance is the gateway to data generation. Without acceptance, the feedback loop required for evidence-based policy correction collapses entirely. </w:t>
      </w:r>
    </w:p>
    <w:p w14:paraId="5FE29D2C" w14:textId="77777777" w:rsidR="00984F72" w:rsidRDefault="00984F72" w:rsidP="00984F72">
      <w:pPr>
        <w:spacing w:after="0" w:line="480" w:lineRule="auto"/>
        <w:contextualSpacing/>
        <w:rPr>
          <w:rFonts w:ascii="Arial" w:eastAsia="Times New Roman" w:hAnsi="Arial" w:cs="Arial"/>
          <w:b/>
          <w:bCs/>
          <w:color w:val="000000"/>
          <w:kern w:val="0"/>
          <w:sz w:val="22"/>
          <w:szCs w:val="22"/>
          <w14:ligatures w14:val="none"/>
        </w:rPr>
      </w:pPr>
    </w:p>
    <w:p w14:paraId="361DEED5" w14:textId="1A2A3291" w:rsidR="00CF77D3" w:rsidRPr="00CF77D3" w:rsidRDefault="00CF77D3" w:rsidP="00984F72">
      <w:pPr>
        <w:spacing w:after="0" w:line="480" w:lineRule="auto"/>
        <w:contextualSpacing/>
        <w:rPr>
          <w:rFonts w:ascii="Times New Roman" w:eastAsia="Times New Roman" w:hAnsi="Times New Roman" w:cs="Times New Roman"/>
          <w:kern w:val="0"/>
          <w14:ligatures w14:val="none"/>
        </w:rPr>
      </w:pPr>
      <w:r w:rsidRPr="00CF77D3">
        <w:rPr>
          <w:rFonts w:ascii="Arial" w:eastAsia="Times New Roman" w:hAnsi="Arial" w:cs="Arial"/>
          <w:b/>
          <w:bCs/>
          <w:color w:val="000000"/>
          <w:kern w:val="0"/>
          <w:sz w:val="22"/>
          <w:szCs w:val="22"/>
          <w14:ligatures w14:val="none"/>
        </w:rPr>
        <w:t>Section 2: Common Weaknesses or Limitations</w:t>
      </w:r>
    </w:p>
    <w:p w14:paraId="3560342E" w14:textId="0B6E3CB9"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Despite the value of these studies presented above, the assessed articles share several significant methodological weaknesses. These are: a reliance on cross-sectional designs, small geographical qualitative samples, a complete lack of financial or economic metrics, an absence of emerging-economy contexts, and the bundling of multiple interventions.</w:t>
      </w:r>
    </w:p>
    <w:p w14:paraId="46BE882D" w14:textId="13B4792E"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 xml:space="preserve">First, these works largely fail to establish causality because they utilize cross-sectional designs that only capture data at a single point in time. This approach prevents researchers from tracking how acceptance and behavior change as technology matures or as new policy is implemented. </w:t>
      </w:r>
      <w:proofErr w:type="spellStart"/>
      <w:r w:rsidRPr="00CF77D3">
        <w:rPr>
          <w:rFonts w:ascii="Arial" w:eastAsia="Times New Roman" w:hAnsi="Arial" w:cs="Arial"/>
          <w:color w:val="000000"/>
          <w:kern w:val="0"/>
          <w:sz w:val="22"/>
          <w:szCs w:val="22"/>
          <w14:ligatures w14:val="none"/>
        </w:rPr>
        <w:t>Alkhwaldi</w:t>
      </w:r>
      <w:proofErr w:type="spellEnd"/>
      <w:r w:rsidRPr="00CF77D3">
        <w:rPr>
          <w:rFonts w:ascii="Arial" w:eastAsia="Times New Roman" w:hAnsi="Arial" w:cs="Arial"/>
          <w:color w:val="000000"/>
          <w:kern w:val="0"/>
          <w:sz w:val="22"/>
          <w:szCs w:val="22"/>
          <w14:ligatures w14:val="none"/>
        </w:rPr>
        <w:t xml:space="preserve"> also acknowledges that surveying 434 healthcare professionals via a one-time online survey makes it difficult to ascertain the temporal order of events and prove causality (Alkhwaldi, 2023, p. 2135, 2154). Sharp et al. also relied on a cross-sectional national survey of 1,001 residents using a random stratified sampling method (Sharp et al., 2020, p. </w:t>
      </w:r>
      <w:r w:rsidRPr="00CF77D3">
        <w:rPr>
          <w:rFonts w:ascii="Arial" w:eastAsia="Times New Roman" w:hAnsi="Arial" w:cs="Arial"/>
          <w:color w:val="000000"/>
          <w:kern w:val="0"/>
          <w:sz w:val="22"/>
          <w:szCs w:val="22"/>
          <w14:ligatures w14:val="none"/>
        </w:rPr>
        <w:lastRenderedPageBreak/>
        <w:t>802). In the realm of public policy and institutional economics, cross-sectional designs are highly restrictive. Policy interventions, particularly those involving digital health infrastructure, take years to demonstrate a measurable impact on economic resilience. Without longitudinal tracking over a multi-year period, policymakers cannot determine whether an AI intervention indeed can produce sustainable health outcomes or merely generate only a temporary novel effect that fades once the initial implementation period concludes. </w:t>
      </w:r>
    </w:p>
    <w:p w14:paraId="167AFA6C" w14:textId="0D99852C"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Second, the studies also frequently utilized small, localized qualitative samples, several limiting their generalizability. The Swedish AI study and the Coombs Montana study both drew their conclusions from narrow regions and small informant pools. Petersson et al. leveraged semi-structured interviews with only 26 healthcare leaders (Petersson et al., 2022, p. 1), while Coombs et al. explored rural provider views within a highly specific demographic (Coombs et al., 2022, p. 12). Generalizing findings from a well-funded, heavily regulated European or American health system to other cultures or resource-constrained emerging environments is scientifically unsound. </w:t>
      </w:r>
    </w:p>
    <w:p w14:paraId="06E5AD12" w14:textId="5596A9F2"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Third, and perhaps most critically for economic policy research, these works completely lack financial or economic key performance indicators (KPIs). It is interesting to find that across all ten articles, there is no study that tests whether technology adoption changes actual spending behavior or improves systemic healthcare metrics in their populations. The authors measure attitudes and intentions, but they fail to evaluate the macroeconomic, budgetary, or human capital impacts on society and populations. Scientific research questions must be falsifiable; they require empirical data. In our articles, because these works fail to measure the financial shift from reactive crisis management to proactive aid, they simply cannot prove the ultimate institutional value of the digital systems they study.</w:t>
      </w:r>
    </w:p>
    <w:p w14:paraId="342D48FB" w14:textId="10029543"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 xml:space="preserve">Fourth, our emerging-economy context is almost entirely absent from this body of literature. The settings represented are - Taiwan, Sweden, Wales, Boston, and Montana - these are highly developed (Sharp et al., 2020, p. 803). While Jordan represents a developing </w:t>
      </w:r>
      <w:r w:rsidRPr="00CF77D3">
        <w:rPr>
          <w:rFonts w:ascii="Arial" w:eastAsia="Times New Roman" w:hAnsi="Arial" w:cs="Arial"/>
          <w:color w:val="000000"/>
          <w:kern w:val="0"/>
          <w:sz w:val="22"/>
          <w:szCs w:val="22"/>
          <w14:ligatures w14:val="none"/>
        </w:rPr>
        <w:lastRenderedPageBreak/>
        <w:t>economy, the framing provided by the authors remains centered exclusively on the acceptance of Business Intelligence, rather than on the realities of resource-constrained public health infrastructure (</w:t>
      </w:r>
      <w:proofErr w:type="spellStart"/>
      <w:r w:rsidRPr="00CF77D3">
        <w:rPr>
          <w:rFonts w:ascii="Arial" w:eastAsia="Times New Roman" w:hAnsi="Arial" w:cs="Arial"/>
          <w:color w:val="000000"/>
          <w:kern w:val="0"/>
          <w:sz w:val="22"/>
          <w:szCs w:val="22"/>
          <w14:ligatures w14:val="none"/>
        </w:rPr>
        <w:t>Alkhwaldi</w:t>
      </w:r>
      <w:proofErr w:type="spellEnd"/>
      <w:r w:rsidRPr="00CF77D3">
        <w:rPr>
          <w:rFonts w:ascii="Arial" w:eastAsia="Times New Roman" w:hAnsi="Arial" w:cs="Arial"/>
          <w:color w:val="000000"/>
          <w:kern w:val="0"/>
          <w:sz w:val="22"/>
          <w:szCs w:val="22"/>
          <w14:ligatures w14:val="none"/>
        </w:rPr>
        <w:t xml:space="preserve">, 2023, p. 2135). This is a massive oversight. Emerging economies possess a distinct structural advantage: the absence of legacy health IT systems potentially allows them to “leapfrog” outdated technologies and build agile, interoperable digital health infrastructures from the ground up. By ignoring these nations, the literature missed the opportunity to study the most fertile ground for modern </w:t>
      </w:r>
      <w:proofErr w:type="spellStart"/>
      <w:r w:rsidRPr="00CF77D3">
        <w:rPr>
          <w:rFonts w:ascii="Arial" w:eastAsia="Times New Roman" w:hAnsi="Arial" w:cs="Arial"/>
          <w:color w:val="000000"/>
          <w:kern w:val="0"/>
          <w:sz w:val="22"/>
          <w:szCs w:val="22"/>
          <w14:ligatures w14:val="none"/>
        </w:rPr>
        <w:t>MLOps</w:t>
      </w:r>
      <w:proofErr w:type="spellEnd"/>
      <w:r w:rsidRPr="00CF77D3">
        <w:rPr>
          <w:rFonts w:ascii="Arial" w:eastAsia="Times New Roman" w:hAnsi="Arial" w:cs="Arial"/>
          <w:color w:val="000000"/>
          <w:kern w:val="0"/>
          <w:sz w:val="22"/>
          <w:szCs w:val="22"/>
          <w14:ligatures w14:val="none"/>
        </w:rPr>
        <w:t xml:space="preserve"> and agentic AI deployment in healthcare. </w:t>
      </w:r>
    </w:p>
    <w:p w14:paraId="48559CED" w14:textId="4E24F7D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 xml:space="preserve">Finally, the bundling of multiple interventions complicates the isolation of specific causal variables. </w:t>
      </w:r>
      <w:proofErr w:type="spellStart"/>
      <w:r w:rsidRPr="00CF77D3">
        <w:rPr>
          <w:rFonts w:ascii="Arial" w:eastAsia="Times New Roman" w:hAnsi="Arial" w:cs="Arial"/>
          <w:color w:val="000000"/>
          <w:kern w:val="0"/>
          <w:sz w:val="22"/>
          <w:szCs w:val="22"/>
          <w14:ligatures w14:val="none"/>
        </w:rPr>
        <w:t>Handtke</w:t>
      </w:r>
      <w:proofErr w:type="spellEnd"/>
      <w:r w:rsidRPr="00CF77D3">
        <w:rPr>
          <w:rFonts w:ascii="Arial" w:eastAsia="Times New Roman" w:hAnsi="Arial" w:cs="Arial"/>
          <w:color w:val="000000"/>
          <w:kern w:val="0"/>
          <w:sz w:val="22"/>
          <w:szCs w:val="22"/>
          <w14:ligatures w14:val="none"/>
        </w:rPr>
        <w:t xml:space="preserve"> et al. note that analyzing highly heterogeneous groups makes pinpointing specific needs difficult (</w:t>
      </w:r>
      <w:proofErr w:type="spellStart"/>
      <w:r w:rsidRPr="00CF77D3">
        <w:rPr>
          <w:rFonts w:ascii="Arial" w:eastAsia="Times New Roman" w:hAnsi="Arial" w:cs="Arial"/>
          <w:color w:val="000000"/>
          <w:kern w:val="0"/>
          <w:sz w:val="22"/>
          <w:szCs w:val="22"/>
          <w14:ligatures w14:val="none"/>
        </w:rPr>
        <w:t>Handtke</w:t>
      </w:r>
      <w:proofErr w:type="spellEnd"/>
      <w:r w:rsidRPr="00CF77D3">
        <w:rPr>
          <w:rFonts w:ascii="Arial" w:eastAsia="Times New Roman" w:hAnsi="Arial" w:cs="Arial"/>
          <w:color w:val="000000"/>
          <w:kern w:val="0"/>
          <w:sz w:val="22"/>
          <w:szCs w:val="22"/>
          <w14:ligatures w14:val="none"/>
        </w:rPr>
        <w:t xml:space="preserve"> et al., 2019, p. 18). </w:t>
      </w:r>
      <w:proofErr w:type="spellStart"/>
      <w:r w:rsidRPr="00CF77D3">
        <w:rPr>
          <w:rFonts w:ascii="Arial" w:eastAsia="Times New Roman" w:hAnsi="Arial" w:cs="Arial"/>
          <w:color w:val="000000"/>
          <w:kern w:val="0"/>
          <w:sz w:val="22"/>
          <w:szCs w:val="22"/>
          <w14:ligatures w14:val="none"/>
        </w:rPr>
        <w:t>Lebano</w:t>
      </w:r>
      <w:proofErr w:type="spellEnd"/>
      <w:r w:rsidRPr="00CF77D3">
        <w:rPr>
          <w:rFonts w:ascii="Arial" w:eastAsia="Times New Roman" w:hAnsi="Arial" w:cs="Arial"/>
          <w:color w:val="000000"/>
          <w:kern w:val="0"/>
          <w:sz w:val="22"/>
          <w:szCs w:val="22"/>
          <w14:ligatures w14:val="none"/>
        </w:rPr>
        <w:t xml:space="preserve"> et al. echo this, stating that analyzing multiple components simultaneously yields small or insignificant observed effects, making specific policy effectiveness difficult to clearly and appropriately evaluate (</w:t>
      </w:r>
      <w:proofErr w:type="spellStart"/>
      <w:r w:rsidRPr="00CF77D3">
        <w:rPr>
          <w:rFonts w:ascii="Arial" w:eastAsia="Times New Roman" w:hAnsi="Arial" w:cs="Arial"/>
          <w:color w:val="000000"/>
          <w:kern w:val="0"/>
          <w:sz w:val="22"/>
          <w:szCs w:val="22"/>
          <w14:ligatures w14:val="none"/>
        </w:rPr>
        <w:t>Lebano</w:t>
      </w:r>
      <w:proofErr w:type="spellEnd"/>
      <w:r w:rsidRPr="00CF77D3">
        <w:rPr>
          <w:rFonts w:ascii="Arial" w:eastAsia="Times New Roman" w:hAnsi="Arial" w:cs="Arial"/>
          <w:color w:val="000000"/>
          <w:kern w:val="0"/>
          <w:sz w:val="22"/>
          <w:szCs w:val="22"/>
          <w14:ligatures w14:val="none"/>
        </w:rPr>
        <w:t xml:space="preserve"> et al., 2020, p. 9). When a study bundles cloud adoption, AI integration, and new privacy laws into a single independent variable (bundling), researchers cannot accurately identify which specific mechanism drove the change in healthcare delivery.</w:t>
      </w:r>
    </w:p>
    <w:p w14:paraId="1771FE7A"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p>
    <w:p w14:paraId="0B3C41A6" w14:textId="77777777" w:rsidR="00CF77D3" w:rsidRPr="00CF77D3" w:rsidRDefault="00CF77D3" w:rsidP="00984F72">
      <w:pPr>
        <w:spacing w:after="0" w:line="480" w:lineRule="auto"/>
        <w:contextualSpacing/>
        <w:rPr>
          <w:rFonts w:ascii="Times New Roman" w:eastAsia="Times New Roman" w:hAnsi="Times New Roman" w:cs="Times New Roman"/>
          <w:kern w:val="0"/>
          <w14:ligatures w14:val="none"/>
        </w:rPr>
      </w:pPr>
      <w:r w:rsidRPr="00CF77D3">
        <w:rPr>
          <w:rFonts w:ascii="Arial" w:eastAsia="Times New Roman" w:hAnsi="Arial" w:cs="Arial"/>
          <w:b/>
          <w:bCs/>
          <w:color w:val="000000"/>
          <w:kern w:val="0"/>
          <w:sz w:val="22"/>
          <w:szCs w:val="22"/>
          <w14:ligatures w14:val="none"/>
        </w:rPr>
        <w:t>Section 3: Implications for Future Research</w:t>
      </w:r>
    </w:p>
    <w:p w14:paraId="21AF410B"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The assessed literature relies heavily on established theoretical models, notably those like the Unified Theory of Acceptance and Use of Technology (UTAUT) (Alkhwaldi), the Theory of Planned Behavior combined with Privacy Calculus Theory (</w:t>
      </w:r>
      <w:proofErr w:type="spellStart"/>
      <w:r w:rsidRPr="00CF77D3">
        <w:rPr>
          <w:rFonts w:ascii="Arial" w:eastAsia="Times New Roman" w:hAnsi="Arial" w:cs="Arial"/>
          <w:color w:val="000000"/>
          <w:kern w:val="0"/>
          <w:sz w:val="22"/>
          <w:szCs w:val="22"/>
          <w14:ligatures w14:val="none"/>
        </w:rPr>
        <w:t>Alraja</w:t>
      </w:r>
      <w:proofErr w:type="spellEnd"/>
      <w:r w:rsidRPr="00CF77D3">
        <w:rPr>
          <w:rFonts w:ascii="Arial" w:eastAsia="Times New Roman" w:hAnsi="Arial" w:cs="Arial"/>
          <w:color w:val="000000"/>
          <w:kern w:val="0"/>
          <w:sz w:val="22"/>
          <w:szCs w:val="22"/>
          <w14:ligatures w14:val="none"/>
        </w:rPr>
        <w:t xml:space="preserve">), and Partial Least Squares (PLS-SEM) statistical frameworks (Alkhwaldi, 2023; </w:t>
      </w:r>
      <w:proofErr w:type="spellStart"/>
      <w:r w:rsidRPr="00CF77D3">
        <w:rPr>
          <w:rFonts w:ascii="Arial" w:eastAsia="Times New Roman" w:hAnsi="Arial" w:cs="Arial"/>
          <w:color w:val="000000"/>
          <w:kern w:val="0"/>
          <w:sz w:val="22"/>
          <w:szCs w:val="22"/>
          <w14:ligatures w14:val="none"/>
        </w:rPr>
        <w:t>Alraja</w:t>
      </w:r>
      <w:proofErr w:type="spellEnd"/>
      <w:r w:rsidRPr="00CF77D3">
        <w:rPr>
          <w:rFonts w:ascii="Arial" w:eastAsia="Times New Roman" w:hAnsi="Arial" w:cs="Arial"/>
          <w:color w:val="000000"/>
          <w:kern w:val="0"/>
          <w:sz w:val="22"/>
          <w:szCs w:val="22"/>
          <w14:ligatures w14:val="none"/>
        </w:rPr>
        <w:t xml:space="preserve">, [Insert Year]; Wu et al., 2009). For example, Wu et al. utilized the PLS method to validate surveys that were administered to over 159 professionals in Taiwan (Wu et al., 2009, p. 72). A major theoretical implication for future research is the necessity of expanding frameworks like UTAUT to encompass macroeconomic constraints. Current frameworks explain why individuals adopt technology; future frameworks </w:t>
      </w:r>
      <w:r w:rsidRPr="00CF77D3">
        <w:rPr>
          <w:rFonts w:ascii="Arial" w:eastAsia="Times New Roman" w:hAnsi="Arial" w:cs="Arial"/>
          <w:color w:val="000000"/>
          <w:kern w:val="0"/>
          <w:sz w:val="22"/>
          <w:szCs w:val="22"/>
          <w14:ligatures w14:val="none"/>
        </w:rPr>
        <w:lastRenderedPageBreak/>
        <w:t>must explain how that aggregate adoption directly alters institution governance and national resource allocation.</w:t>
      </w:r>
    </w:p>
    <w:p w14:paraId="5B5EFE43"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Furthermore, nearly every article calls for research to move beyond measuring the mere intention that individuals convey to adopt, and move towards actual implementation strategy, capacity-building, and regulatory design. In the Swedish study, it is explicitly called out that new laws and policies are needed to better regulate the design and the execution of effective AI strategies, asserting that existing laws have not kept pace with technological developments (Petersson et al., 2022, p. 1). Future policy research must investigate how to build monitoring and evaluation (M&amp;E) processes directly into the digital infrastructure by design, rather than always treating it as an afterthought. Public policies should require rigorous reevaluation based on empirical and macroeconomic data so that policy makers can implement greatly improved regulatory frameworks and processes.</w:t>
      </w:r>
    </w:p>
    <w:p w14:paraId="664D442D"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A third, critical methodological implication arises from the literature’s omissions: future research must seek to introduce economic and financial outcome measures. Because these current studies only analyze whether people will adopt technology and ignore what happens to institutional spending once the adoption occurs, there is a mandate for new methodologies. Another observation is that future researchers should also utilize simulated environments, synthetic clinical data, or pilot Retrieval-Augmented Generation (RAG) frameworks to generate empirical financial data in low-resource settings. Lastly, equity-focused research and technology-adoption research currently run on separate tracks. Future studies must bridge this gap by empirically testing whether the specific populations most affected by these structural access barriers are, in fact, the exact populations that these digital health interventions are successfully reaching.</w:t>
      </w:r>
    </w:p>
    <w:p w14:paraId="3D3D6B82"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p>
    <w:p w14:paraId="7852290C" w14:textId="77777777" w:rsidR="00CF77D3" w:rsidRPr="00CF77D3" w:rsidRDefault="00CF77D3" w:rsidP="00984F72">
      <w:pPr>
        <w:spacing w:after="0" w:line="480" w:lineRule="auto"/>
        <w:contextualSpacing/>
        <w:rPr>
          <w:rFonts w:ascii="Times New Roman" w:eastAsia="Times New Roman" w:hAnsi="Times New Roman" w:cs="Times New Roman"/>
          <w:kern w:val="0"/>
          <w14:ligatures w14:val="none"/>
        </w:rPr>
      </w:pPr>
      <w:r w:rsidRPr="00CF77D3">
        <w:rPr>
          <w:rFonts w:ascii="Arial" w:eastAsia="Times New Roman" w:hAnsi="Arial" w:cs="Arial"/>
          <w:b/>
          <w:bCs/>
          <w:color w:val="000000"/>
          <w:kern w:val="0"/>
          <w:sz w:val="22"/>
          <w:szCs w:val="22"/>
          <w14:ligatures w14:val="none"/>
        </w:rPr>
        <w:t>Section 4: Scientific Research Question</w:t>
      </w:r>
    </w:p>
    <w:p w14:paraId="02FDB4DD" w14:textId="7B44DE66"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lastRenderedPageBreak/>
        <w:t>Given the gaps presented in these articles - specifically the lack of economic metrics, the absence of the emerging-market context and the need to bridge the gap which exists between technological capabilities with public health policy - I have formulated the following scientific research question: </w:t>
      </w:r>
    </w:p>
    <w:p w14:paraId="5A102D5E"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“To what extent does the implementation of predictive AI models and interoperable digital health architecture help to reduce reactive crisis spending in health interventions within emerging economies?”</w:t>
      </w:r>
    </w:p>
    <w:p w14:paraId="39A95A00"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 xml:space="preserve">This question is presented in the form of a question as it should. It is highly </w:t>
      </w:r>
      <w:proofErr w:type="gramStart"/>
      <w:r w:rsidRPr="00CF77D3">
        <w:rPr>
          <w:rFonts w:ascii="Arial" w:eastAsia="Times New Roman" w:hAnsi="Arial" w:cs="Arial"/>
          <w:color w:val="000000"/>
          <w:kern w:val="0"/>
          <w:sz w:val="22"/>
          <w:szCs w:val="22"/>
          <w14:ligatures w14:val="none"/>
        </w:rPr>
        <w:t>testable, and</w:t>
      </w:r>
      <w:proofErr w:type="gramEnd"/>
      <w:r w:rsidRPr="00CF77D3">
        <w:rPr>
          <w:rFonts w:ascii="Arial" w:eastAsia="Times New Roman" w:hAnsi="Arial" w:cs="Arial"/>
          <w:color w:val="000000"/>
          <w:kern w:val="0"/>
          <w:sz w:val="22"/>
          <w:szCs w:val="22"/>
          <w14:ligatures w14:val="none"/>
        </w:rPr>
        <w:t xml:space="preserve"> is strictly falsifiable. In other words, a null result - that is finding no statistically significant relationship between the deployment of AI architectures and a reduction in reactive budgetary allocation indeed is a mathematically possible outcome. This question also specifically targets the economic dependent variables missing from the current research presented in these works. The question allows for an empirical analysis of how technological “leapfrogging” indeed can serve as a prerequisite for fiscal transparency and it allows for targeted aid allocation.</w:t>
      </w:r>
    </w:p>
    <w:p w14:paraId="30EE7D3B"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p>
    <w:p w14:paraId="484701FF" w14:textId="77777777" w:rsidR="00CF77D3" w:rsidRPr="00984F72" w:rsidRDefault="00CF77D3" w:rsidP="00984F72">
      <w:pPr>
        <w:spacing w:after="0" w:line="480" w:lineRule="auto"/>
        <w:contextualSpacing/>
        <w:rPr>
          <w:rFonts w:ascii="Times New Roman" w:eastAsia="Times New Roman" w:hAnsi="Times New Roman" w:cs="Times New Roman"/>
          <w:b/>
          <w:bCs/>
          <w:kern w:val="0"/>
          <w14:ligatures w14:val="none"/>
        </w:rPr>
      </w:pPr>
      <w:r w:rsidRPr="00984F72">
        <w:rPr>
          <w:rFonts w:ascii="Arial" w:eastAsia="Times New Roman" w:hAnsi="Arial" w:cs="Arial"/>
          <w:b/>
          <w:bCs/>
          <w:color w:val="000000"/>
          <w:kern w:val="0"/>
          <w:sz w:val="22"/>
          <w:szCs w:val="22"/>
          <w14:ligatures w14:val="none"/>
        </w:rPr>
        <w:t>Conclusion</w:t>
      </w:r>
    </w:p>
    <w:p w14:paraId="67246B00" w14:textId="1C14F375"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r w:rsidRPr="00CF77D3">
        <w:rPr>
          <w:rFonts w:ascii="Arial" w:eastAsia="Times New Roman" w:hAnsi="Arial" w:cs="Arial"/>
          <w:color w:val="000000"/>
          <w:kern w:val="0"/>
          <w:sz w:val="22"/>
          <w:szCs w:val="22"/>
          <w14:ligatures w14:val="none"/>
        </w:rPr>
        <w:t xml:space="preserve">Overall, the assessment of these 10 peer-reviewed articles has been insightful and an enriching activity. It has provided me with a robust understanding of the methodologies that are prevalent in current healthcare policy literature. Through the identification of these common themes of trust and user acceptance, while isolating the critical weaknesses of cross-sectional designs and non-existent economic metrics and </w:t>
      </w:r>
      <w:proofErr w:type="spellStart"/>
      <w:r w:rsidRPr="00CF77D3">
        <w:rPr>
          <w:rFonts w:ascii="Arial" w:eastAsia="Times New Roman" w:hAnsi="Arial" w:cs="Arial"/>
          <w:color w:val="000000"/>
          <w:kern w:val="0"/>
          <w:sz w:val="22"/>
          <w:szCs w:val="22"/>
          <w14:ligatures w14:val="none"/>
        </w:rPr>
        <w:t>kpi’s</w:t>
      </w:r>
      <w:proofErr w:type="spellEnd"/>
      <w:r w:rsidRPr="00CF77D3">
        <w:rPr>
          <w:rFonts w:ascii="Arial" w:eastAsia="Times New Roman" w:hAnsi="Arial" w:cs="Arial"/>
          <w:color w:val="000000"/>
          <w:kern w:val="0"/>
          <w:sz w:val="22"/>
          <w:szCs w:val="22"/>
          <w14:ligatures w14:val="none"/>
        </w:rPr>
        <w:t xml:space="preserve">, this review has established for me a clear framework for rigorous doctoral research. The common patterns in the research methodologies and the similar gaps identified have provided to me a much more solid understanding of what the dissertation process requires. Ultimately, proving that modern digital infrastructures can shift governments from a reactive crisis management to proactive human capital development will </w:t>
      </w:r>
      <w:r w:rsidRPr="00CF77D3">
        <w:rPr>
          <w:rFonts w:ascii="Arial" w:eastAsia="Times New Roman" w:hAnsi="Arial" w:cs="Arial"/>
          <w:color w:val="000000"/>
          <w:kern w:val="0"/>
          <w:sz w:val="22"/>
          <w:szCs w:val="22"/>
          <w14:ligatures w14:val="none"/>
        </w:rPr>
        <w:lastRenderedPageBreak/>
        <w:t>require empirical, longitudinal economic data, and I look forward to applying these principles to my own research work. </w:t>
      </w:r>
    </w:p>
    <w:p w14:paraId="7B29D742" w14:textId="77777777" w:rsidR="00CF77D3" w:rsidRPr="00CF77D3" w:rsidRDefault="00CF77D3" w:rsidP="00984F72">
      <w:pPr>
        <w:spacing w:after="0" w:line="480" w:lineRule="auto"/>
        <w:ind w:firstLine="720"/>
        <w:contextualSpacing/>
        <w:rPr>
          <w:rFonts w:ascii="Times New Roman" w:eastAsia="Times New Roman" w:hAnsi="Times New Roman" w:cs="Times New Roman"/>
          <w:kern w:val="0"/>
          <w14:ligatures w14:val="none"/>
        </w:rPr>
      </w:pPr>
    </w:p>
    <w:p w14:paraId="4B2AE67B" w14:textId="09CE629B" w:rsidR="00E21A1D" w:rsidRPr="00976F80" w:rsidRDefault="00196C02" w:rsidP="00976F80">
      <w:pPr>
        <w:spacing w:after="0" w:line="480" w:lineRule="auto"/>
        <w:contextualSpacing/>
        <w:rPr>
          <w:b/>
          <w:bCs/>
        </w:rPr>
      </w:pPr>
      <w:r>
        <w:rPr>
          <w:b/>
          <w:bCs/>
        </w:rPr>
        <w:t>References</w:t>
      </w:r>
      <w:r w:rsidR="00976F80" w:rsidRPr="00976F80">
        <w:rPr>
          <w:b/>
          <w:bCs/>
        </w:rPr>
        <w:t>:</w:t>
      </w:r>
    </w:p>
    <w:p w14:paraId="3B4AF5C2" w14:textId="68981748" w:rsidR="00976F80" w:rsidRDefault="00976F80" w:rsidP="00976F80">
      <w:pPr>
        <w:spacing w:after="0" w:line="480" w:lineRule="auto"/>
        <w:contextualSpacing/>
      </w:pPr>
      <w:r>
        <w:t>(pending)</w:t>
      </w:r>
    </w:p>
    <w:sectPr w:rsidR="00976F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A1D"/>
    <w:rsid w:val="00196C02"/>
    <w:rsid w:val="003C6D0C"/>
    <w:rsid w:val="00976F80"/>
    <w:rsid w:val="00984F72"/>
    <w:rsid w:val="00CF77D3"/>
    <w:rsid w:val="00E21A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D5A544D"/>
  <w15:chartTrackingRefBased/>
  <w15:docId w15:val="{C13BAAF6-9C59-EF40-AAA4-BA905B8B5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1A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1A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1A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1A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1A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1A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1A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1A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1A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1A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1A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1A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1A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1A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1A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1A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1A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1A1D"/>
    <w:rPr>
      <w:rFonts w:eastAsiaTheme="majorEastAsia" w:cstheme="majorBidi"/>
      <w:color w:val="272727" w:themeColor="text1" w:themeTint="D8"/>
    </w:rPr>
  </w:style>
  <w:style w:type="paragraph" w:styleId="Title">
    <w:name w:val="Title"/>
    <w:basedOn w:val="Normal"/>
    <w:next w:val="Normal"/>
    <w:link w:val="TitleChar"/>
    <w:uiPriority w:val="10"/>
    <w:qFormat/>
    <w:rsid w:val="00E21A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1A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1A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1A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1A1D"/>
    <w:pPr>
      <w:spacing w:before="160"/>
      <w:jc w:val="center"/>
    </w:pPr>
    <w:rPr>
      <w:i/>
      <w:iCs/>
      <w:color w:val="404040" w:themeColor="text1" w:themeTint="BF"/>
    </w:rPr>
  </w:style>
  <w:style w:type="character" w:customStyle="1" w:styleId="QuoteChar">
    <w:name w:val="Quote Char"/>
    <w:basedOn w:val="DefaultParagraphFont"/>
    <w:link w:val="Quote"/>
    <w:uiPriority w:val="29"/>
    <w:rsid w:val="00E21A1D"/>
    <w:rPr>
      <w:i/>
      <w:iCs/>
      <w:color w:val="404040" w:themeColor="text1" w:themeTint="BF"/>
    </w:rPr>
  </w:style>
  <w:style w:type="paragraph" w:styleId="ListParagraph">
    <w:name w:val="List Paragraph"/>
    <w:basedOn w:val="Normal"/>
    <w:uiPriority w:val="34"/>
    <w:qFormat/>
    <w:rsid w:val="00E21A1D"/>
    <w:pPr>
      <w:ind w:left="720"/>
      <w:contextualSpacing/>
    </w:pPr>
  </w:style>
  <w:style w:type="character" w:styleId="IntenseEmphasis">
    <w:name w:val="Intense Emphasis"/>
    <w:basedOn w:val="DefaultParagraphFont"/>
    <w:uiPriority w:val="21"/>
    <w:qFormat/>
    <w:rsid w:val="00E21A1D"/>
    <w:rPr>
      <w:i/>
      <w:iCs/>
      <w:color w:val="0F4761" w:themeColor="accent1" w:themeShade="BF"/>
    </w:rPr>
  </w:style>
  <w:style w:type="paragraph" w:styleId="IntenseQuote">
    <w:name w:val="Intense Quote"/>
    <w:basedOn w:val="Normal"/>
    <w:next w:val="Normal"/>
    <w:link w:val="IntenseQuoteChar"/>
    <w:uiPriority w:val="30"/>
    <w:qFormat/>
    <w:rsid w:val="00E21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1A1D"/>
    <w:rPr>
      <w:i/>
      <w:iCs/>
      <w:color w:val="0F4761" w:themeColor="accent1" w:themeShade="BF"/>
    </w:rPr>
  </w:style>
  <w:style w:type="character" w:styleId="IntenseReference">
    <w:name w:val="Intense Reference"/>
    <w:basedOn w:val="DefaultParagraphFont"/>
    <w:uiPriority w:val="32"/>
    <w:qFormat/>
    <w:rsid w:val="00E21A1D"/>
    <w:rPr>
      <w:b/>
      <w:bCs/>
      <w:smallCaps/>
      <w:color w:val="0F4761" w:themeColor="accent1" w:themeShade="BF"/>
      <w:spacing w:val="5"/>
    </w:rPr>
  </w:style>
  <w:style w:type="paragraph" w:styleId="NormalWeb">
    <w:name w:val="Normal (Web)"/>
    <w:basedOn w:val="Normal"/>
    <w:uiPriority w:val="99"/>
    <w:semiHidden/>
    <w:unhideWhenUsed/>
    <w:rsid w:val="00E21A1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E21A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Pages>
  <Words>2641</Words>
  <Characters>15054</Characters>
  <Application>Microsoft Office Word</Application>
  <DocSecurity>0</DocSecurity>
  <Lines>125</Lines>
  <Paragraphs>35</Paragraphs>
  <ScaleCrop>false</ScaleCrop>
  <Company/>
  <LinksUpToDate>false</LinksUpToDate>
  <CharactersWithSpaces>17660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Ellen Jones</dc:creator>
  <cp:keywords/>
  <dc:description/>
  <cp:lastModifiedBy>Ellen Jones</cp:lastModifiedBy>
  <cp:revision>5</cp:revision>
  <dcterms:created xsi:type="dcterms:W3CDTF">2026-09-19T12:02:00Z</dcterms:created>
  <dcterms:modified xsi:type="dcterms:W3CDTF">2026-09-19T12:26:00Z</dcterms:modified>
</cp:coreProperties>
</file>