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2D0CF" w14:textId="77777777" w:rsidR="00976F80" w:rsidRDefault="00976F80" w:rsidP="00976F80">
      <w:pPr>
        <w:spacing w:after="0" w:line="240" w:lineRule="auto"/>
        <w:jc w:val="center"/>
        <w:rPr>
          <w:b/>
          <w:bCs/>
        </w:rPr>
      </w:pPr>
    </w:p>
    <w:p w14:paraId="06F16766" w14:textId="77777777" w:rsidR="00976F80" w:rsidRDefault="00976F80" w:rsidP="00976F80">
      <w:pPr>
        <w:spacing w:after="0" w:line="240" w:lineRule="auto"/>
        <w:jc w:val="center"/>
        <w:rPr>
          <w:b/>
          <w:bCs/>
        </w:rPr>
      </w:pPr>
    </w:p>
    <w:p w14:paraId="7618717E" w14:textId="77777777" w:rsidR="00976F80" w:rsidRDefault="00976F80" w:rsidP="00976F80">
      <w:pPr>
        <w:spacing w:after="0" w:line="240" w:lineRule="auto"/>
        <w:jc w:val="center"/>
        <w:rPr>
          <w:b/>
          <w:bCs/>
        </w:rPr>
      </w:pPr>
    </w:p>
    <w:p w14:paraId="22C6ECE1" w14:textId="6019EAB2" w:rsidR="00976F80" w:rsidRPr="00E76D6C" w:rsidRDefault="00976F80" w:rsidP="00976F80">
      <w:pPr>
        <w:spacing w:after="0" w:line="240" w:lineRule="auto"/>
        <w:jc w:val="center"/>
        <w:rPr>
          <w:b/>
          <w:bCs/>
        </w:rPr>
      </w:pPr>
      <w:r>
        <w:rPr>
          <w:b/>
          <w:bCs/>
        </w:rPr>
        <w:t>Literature Review – Module 4</w:t>
      </w:r>
    </w:p>
    <w:p w14:paraId="447A4230" w14:textId="77777777" w:rsidR="00976F80" w:rsidRDefault="00976F80" w:rsidP="00976F80">
      <w:pPr>
        <w:spacing w:after="0" w:line="240" w:lineRule="auto"/>
        <w:jc w:val="center"/>
      </w:pPr>
    </w:p>
    <w:p w14:paraId="214A0C19" w14:textId="77777777" w:rsidR="00976F80" w:rsidRDefault="00976F80" w:rsidP="00976F80">
      <w:pPr>
        <w:spacing w:after="0" w:line="240" w:lineRule="auto"/>
        <w:jc w:val="center"/>
      </w:pPr>
    </w:p>
    <w:p w14:paraId="30BEDAB3" w14:textId="77777777" w:rsidR="00976F80" w:rsidRDefault="00976F80" w:rsidP="00976F80">
      <w:pPr>
        <w:spacing w:after="0" w:line="240" w:lineRule="auto"/>
        <w:jc w:val="center"/>
      </w:pPr>
      <w:r>
        <w:t>Martin A. Perez Rodriguez</w:t>
      </w:r>
    </w:p>
    <w:p w14:paraId="24D8C0AC" w14:textId="77777777" w:rsidR="00976F80" w:rsidRDefault="00976F80" w:rsidP="00976F80">
      <w:pPr>
        <w:spacing w:after="0" w:line="240" w:lineRule="auto"/>
        <w:jc w:val="center"/>
      </w:pPr>
    </w:p>
    <w:p w14:paraId="2A645071" w14:textId="77777777" w:rsidR="00976F80" w:rsidRDefault="00976F80" w:rsidP="00976F80">
      <w:pPr>
        <w:spacing w:after="0" w:line="240" w:lineRule="auto"/>
        <w:jc w:val="center"/>
      </w:pPr>
      <w:r>
        <w:t>Department of Public Policy, Liberty University</w:t>
      </w:r>
    </w:p>
    <w:p w14:paraId="656EBD3D" w14:textId="77777777" w:rsidR="00976F80" w:rsidRDefault="00976F80" w:rsidP="00976F80">
      <w:pPr>
        <w:spacing w:after="0" w:line="240" w:lineRule="auto"/>
        <w:jc w:val="center"/>
      </w:pPr>
    </w:p>
    <w:p w14:paraId="645EC438" w14:textId="77777777" w:rsidR="00976F80" w:rsidRDefault="00976F80" w:rsidP="00976F80">
      <w:pPr>
        <w:spacing w:after="0" w:line="240" w:lineRule="auto"/>
        <w:jc w:val="center"/>
      </w:pPr>
      <w:r>
        <w:t>PLCY 700: Foundations of Public Policy</w:t>
      </w:r>
    </w:p>
    <w:p w14:paraId="229A8A3D" w14:textId="77777777" w:rsidR="00976F80" w:rsidRDefault="00976F80" w:rsidP="00976F80">
      <w:pPr>
        <w:spacing w:after="0" w:line="240" w:lineRule="auto"/>
        <w:jc w:val="center"/>
      </w:pPr>
    </w:p>
    <w:p w14:paraId="1DB5FD3C" w14:textId="77777777" w:rsidR="00976F80" w:rsidRDefault="00976F80" w:rsidP="00976F80">
      <w:pPr>
        <w:spacing w:after="0" w:line="240" w:lineRule="auto"/>
        <w:jc w:val="center"/>
      </w:pPr>
      <w:r>
        <w:t xml:space="preserve">Dr. </w:t>
      </w:r>
      <w:r w:rsidRPr="00A95105">
        <w:t>Scott Boykin</w:t>
      </w:r>
    </w:p>
    <w:p w14:paraId="69C0ADAD" w14:textId="77777777" w:rsidR="00976F80" w:rsidRDefault="00976F80" w:rsidP="00976F80">
      <w:pPr>
        <w:spacing w:after="0" w:line="240" w:lineRule="auto"/>
        <w:jc w:val="center"/>
      </w:pPr>
    </w:p>
    <w:p w14:paraId="1FD3BF9C" w14:textId="122B90C3" w:rsidR="00976F80" w:rsidRDefault="00976F80" w:rsidP="00976F80">
      <w:pPr>
        <w:spacing w:after="0" w:line="240" w:lineRule="auto"/>
        <w:jc w:val="center"/>
        <w:rPr>
          <w:rFonts w:ascii="Arial" w:eastAsia="Times New Roman" w:hAnsi="Arial" w:cs="Arial"/>
          <w:color w:val="000000"/>
          <w:kern w:val="0"/>
          <w:sz w:val="22"/>
          <w:szCs w:val="22"/>
          <w14:ligatures w14:val="none"/>
        </w:rPr>
      </w:pPr>
      <w:r>
        <w:t>September 19, 2026</w:t>
      </w:r>
    </w:p>
    <w:p w14:paraId="196A7D85"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255E137C"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251E506B"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16FFE095"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71576115"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4034623B"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4A95829"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5FA7F7DB"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49DC7A07"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2A4246D8"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4BA4A050"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05A700B9"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72D35CA5"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19622EC"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67C690AC"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47A907A0"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A96699B"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75E290A"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2593448"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23378B38"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24E4ADC0"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73EA6062"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0180944E"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CC61BD3"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17263CEE"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0FC3C25"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579C2E6F"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1DAE2DBF"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E1DAE8F"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13BE8A4E"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0FCC8A76"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34E88638" w14:textId="77777777" w:rsidR="00976F80" w:rsidRDefault="00976F80" w:rsidP="00976F80">
      <w:pPr>
        <w:spacing w:after="0" w:line="240" w:lineRule="auto"/>
        <w:rPr>
          <w:rFonts w:ascii="Arial" w:eastAsia="Times New Roman" w:hAnsi="Arial" w:cs="Arial"/>
          <w:color w:val="000000"/>
          <w:kern w:val="0"/>
          <w:sz w:val="22"/>
          <w:szCs w:val="22"/>
          <w14:ligatures w14:val="none"/>
        </w:rPr>
      </w:pPr>
    </w:p>
    <w:p w14:paraId="581BC3C3" w14:textId="77777777" w:rsidR="00976F80" w:rsidRDefault="00976F80" w:rsidP="00984F72">
      <w:pPr>
        <w:spacing w:after="0" w:line="480" w:lineRule="auto"/>
        <w:contextualSpacing/>
        <w:rPr>
          <w:rFonts w:ascii="Arial" w:eastAsia="Times New Roman" w:hAnsi="Arial" w:cs="Arial"/>
          <w:b/>
          <w:bCs/>
          <w:color w:val="000000"/>
          <w:kern w:val="0"/>
          <w:sz w:val="22"/>
          <w:szCs w:val="22"/>
          <w14:ligatures w14:val="none"/>
        </w:rPr>
      </w:pPr>
    </w:p>
    <w:p w14:paraId="5F2D983A" w14:textId="77777777" w:rsidR="00374315" w:rsidRPr="00374315" w:rsidRDefault="00374315" w:rsidP="00374315">
      <w:pPr>
        <w:spacing w:after="0" w:line="480" w:lineRule="auto"/>
        <w:contextualSpacing/>
        <w:rPr>
          <w:b/>
          <w:bCs/>
        </w:rPr>
      </w:pPr>
      <w:r w:rsidRPr="00374315">
        <w:rPr>
          <w:b/>
          <w:bCs/>
        </w:rPr>
        <w:lastRenderedPageBreak/>
        <w:t>Introduction</w:t>
      </w:r>
    </w:p>
    <w:p w14:paraId="7335E034" w14:textId="77777777" w:rsidR="00374315" w:rsidRDefault="00374315" w:rsidP="00374315">
      <w:pPr>
        <w:spacing w:after="0" w:line="480" w:lineRule="auto"/>
        <w:ind w:firstLine="720"/>
        <w:contextualSpacing/>
      </w:pPr>
      <w:r>
        <w:t xml:space="preserve">This assessment explores ten peer-reviewed journal articles focusing on the intersection of healthcare information systems, technology adoption, and public policies. The evaluation of new technological processes in healthcare, when paired with the right public policies from governments to bless the lives of families and children, remains a primary motivation for my dissertation research. As a team lead of AI Engineers in the healthcare sector, I recognize a vast array of engineering solutions - such as agentic AI, predictive pipelines, and interoperable data architectures and others. However, prior to advancing and promoting any kind of engineering solutions or supporting these with public policy recommendations, researchers must collect rigorous empirical and qualitative data to drive educated, evidence-based decisions. </w:t>
      </w:r>
    </w:p>
    <w:p w14:paraId="74E723BF" w14:textId="77777777" w:rsidR="00374315" w:rsidRDefault="00374315" w:rsidP="00374315">
      <w:pPr>
        <w:spacing w:after="0" w:line="480" w:lineRule="auto"/>
        <w:ind w:firstLine="720"/>
        <w:contextualSpacing/>
      </w:pPr>
      <w:r>
        <w:t>This assignment provides an introductory framework to evaluate the scholarly research process, ensuring sufficient evidence exists to support a robust scientific inquiry into digital health infrastructure. This paper is organized into four primary areas. It first presents the common themes and assumptions found across the selected peer-reviewed journals, followed by a critical analysis of their commonly found weaknesses and methodological limitations. Next, it outlines implications for future research, specifically addressing how empirical gaps must be closed to properly evaluate economic outcomes. Finally, it proposes a falsifiable scientific research question derived from the assessed literature, tailored to explore the shift from reactive to proactive health policy in emerging economies.</w:t>
      </w:r>
    </w:p>
    <w:p w14:paraId="62535623" w14:textId="77777777" w:rsidR="00374315" w:rsidRDefault="00374315" w:rsidP="00374315">
      <w:pPr>
        <w:spacing w:after="0" w:line="480" w:lineRule="auto"/>
        <w:contextualSpacing/>
      </w:pPr>
    </w:p>
    <w:p w14:paraId="321C7161" w14:textId="77777777" w:rsidR="00374315" w:rsidRPr="00374315" w:rsidRDefault="00374315" w:rsidP="00374315">
      <w:pPr>
        <w:spacing w:after="0" w:line="480" w:lineRule="auto"/>
        <w:contextualSpacing/>
        <w:rPr>
          <w:b/>
          <w:bCs/>
        </w:rPr>
      </w:pPr>
      <w:r w:rsidRPr="00374315">
        <w:rPr>
          <w:b/>
          <w:bCs/>
        </w:rPr>
        <w:lastRenderedPageBreak/>
        <w:t>Section 1: Common Themes</w:t>
      </w:r>
    </w:p>
    <w:p w14:paraId="083668F6" w14:textId="77777777" w:rsidR="00374315" w:rsidRDefault="00374315" w:rsidP="00374315">
      <w:pPr>
        <w:spacing w:after="0" w:line="480" w:lineRule="auto"/>
        <w:ind w:firstLine="720"/>
        <w:contextualSpacing/>
      </w:pPr>
      <w:r>
        <w:t>The reviewed literature contains four primary and recurring themes: (1) technology’s potential for good consistently outpaces real-world adoption; (2) human adoption is gated by people’s readiness to trust and use technical capabilities; (3) social and structural barriers present real blockers to driving healthcare equity independent of technological features; and (4) user acceptance itself is treated as a fundamental dependent variable dictating the success of healthcare evolution.</w:t>
      </w:r>
    </w:p>
    <w:p w14:paraId="2A656D3A" w14:textId="172EF503" w:rsidR="00374315" w:rsidRDefault="00374315" w:rsidP="00374315">
      <w:pPr>
        <w:spacing w:after="0" w:line="480" w:lineRule="auto"/>
        <w:ind w:firstLine="720"/>
        <w:contextualSpacing/>
      </w:pPr>
      <w:r>
        <w:t xml:space="preserve">First, across industries and government sectors, there is incredible acknowledged potential in adopting digital and agentic AI healthcare solutions while simultaneously implementing effective public policies to incubate and distribute those capabilities. The capability and immense value are undeniable; however, these works consistently frame healthcare technology competency as underdeveloped relative to its potential impact on IT-healthcare partnerships and implementations. </w:t>
      </w:r>
      <w:proofErr w:type="spellStart"/>
      <w:r>
        <w:t>Alkhwaldi</w:t>
      </w:r>
      <w:proofErr w:type="spellEnd"/>
      <w:r>
        <w:t xml:space="preserve"> notes that business intelligence (BI) has “grown in popularity” but suffers from a “lack of exploration” (Alkhwaldi, 2023, p. 2135). Similarly, a Swedish study explicitly cites AI’s “slow and variable uptake,” while </w:t>
      </w:r>
      <w:proofErr w:type="spellStart"/>
      <w:r>
        <w:t>Alraja</w:t>
      </w:r>
      <w:proofErr w:type="spellEnd"/>
      <w:r>
        <w:t xml:space="preserve"> frames IoT adoption as under-analyzed within </w:t>
      </w:r>
      <w:r w:rsidR="00A310E1">
        <w:t xml:space="preserve">the </w:t>
      </w:r>
      <w:r>
        <w:t xml:space="preserve">clinical </w:t>
      </w:r>
      <w:r w:rsidR="00A310E1">
        <w:t>framework</w:t>
      </w:r>
      <w:r>
        <w:t xml:space="preserve">. Beaulieu and Bentahar assert that the healthcare supply chain “lags far behind” other industries in digitalization (Beaulieu &amp; Bentahar, 2021, p. 1). </w:t>
      </w:r>
      <w:r w:rsidR="00A310E1">
        <w:t xml:space="preserve">Healthcare leaders often </w:t>
      </w:r>
      <w:r>
        <w:t xml:space="preserve">actively resisted </w:t>
      </w:r>
      <w:r w:rsidR="00A310E1">
        <w:t xml:space="preserve">technological advancements thus </w:t>
      </w:r>
      <w:r>
        <w:t>contributing to sluggish implementation</w:t>
      </w:r>
      <w:r w:rsidR="00A310E1">
        <w:t>s</w:t>
      </w:r>
      <w:r>
        <w:t xml:space="preserve"> (Petersson et al., 2022, p. 1). As Wu et al. note, rapid changes in information and communication technology (ICT) will influence how healthcare services are delivered and used (Wu et al., 2009, p. 72). The macroeconomic significance of this lag </w:t>
      </w:r>
      <w:r>
        <w:lastRenderedPageBreak/>
        <w:t xml:space="preserve">cannot be overstated. When the implementation of data-driven policy platforms is delayed by </w:t>
      </w:r>
      <w:r w:rsidR="00A310E1">
        <w:t>resistance from i</w:t>
      </w:r>
      <w:r>
        <w:t>nstitution</w:t>
      </w:r>
      <w:r w:rsidR="00A310E1">
        <w:t>s</w:t>
      </w:r>
      <w:r>
        <w:t>, governments are forced to continue to rely on legacy, retroactive reporting models. In emerging economies, this technological lag directly translates into a reliance on reactive crisis spending rather than proactive, targeted aid allocation and distributions. If health infrastructure cannot process data in near real-time, public policy cannot adapt to immediate human capital needs, resulting in severe financial inefficiencies</w:t>
      </w:r>
      <w:r w:rsidR="00A310E1">
        <w:t xml:space="preserve"> and lags.</w:t>
      </w:r>
    </w:p>
    <w:p w14:paraId="101C04F8" w14:textId="77777777" w:rsidR="00374315" w:rsidRDefault="00374315" w:rsidP="00374315">
      <w:pPr>
        <w:spacing w:after="0" w:line="480" w:lineRule="auto"/>
        <w:ind w:firstLine="720"/>
        <w:contextualSpacing/>
      </w:pPr>
      <w:r>
        <w:t xml:space="preserve">Second, overall adoption is gated by human and organizational trust rather than technical capabilities. The authors of these works isolate critical “soft variables” - including trust, perceived risk, professional autonomy, medical-legal risk, personal medical information breaches, decision-making culture, and change-management capacity - as the true predictors of adoption. These variables frequently appear in quantitative acceptance-modeling literature (such as UTAUT) to measure why doctors, nurses, patients, or administrators choose to adopt or reject medical technologies. </w:t>
      </w:r>
      <w:proofErr w:type="spellStart"/>
      <w:r>
        <w:t>Alkhwaldi</w:t>
      </w:r>
      <w:proofErr w:type="spellEnd"/>
      <w:r>
        <w:t xml:space="preserve"> observes that medical practitioners often perceive BI systems as an imminent threat to their professional autonomy (Alkhwaldi, 2023, p. 2145). Because new agentic AI systems can offer prescription advice for care planning and provide recommendations during patient counseling sessions, clinicians frequently perceive them as professional intrusions (Alkhwaldi, 2023, p. 2145). Furthermore, Petersson et al. emphasize that if professionals do not trust AI outputs, there is a severe risk they will refuse to use them in their daily clinical practices (Petersson et al., 2022, p. 10). This shared focus on trust reveals a crucial implication for digital public infrastructure (DPI): technical investments by governments </w:t>
      </w:r>
      <w:r>
        <w:lastRenderedPageBreak/>
        <w:t>will always most likely yield a negative return on investment (ROI) unless they are paired with robust, policy-driven change-management initiatives. Policymakers must realize that funding cloud architectures and machine learning pipelines are insufficient without simultaneously funding the social incubation required to promote the needed institutional trust.</w:t>
      </w:r>
    </w:p>
    <w:p w14:paraId="1DF748BB" w14:textId="77777777" w:rsidR="00374315" w:rsidRDefault="00374315" w:rsidP="00374315">
      <w:pPr>
        <w:spacing w:after="0" w:line="480" w:lineRule="auto"/>
        <w:ind w:firstLine="720"/>
        <w:contextualSpacing/>
      </w:pPr>
      <w:r>
        <w:t xml:space="preserve">Third, structural and social barriers prevent healthcare equity regardless of technological advancements. The literature highlights barriers rooted in language, culture, geography, legal status, and cost, rather than mere information or technological gaps. Coombs et al. identify friction between aspects of patients’ rural identities and modern healthcare systems (Coombs et al., 2022, p. 6). Similarly, </w:t>
      </w:r>
      <w:proofErr w:type="spellStart"/>
      <w:r>
        <w:t>Handtke</w:t>
      </w:r>
      <w:proofErr w:type="spellEnd"/>
      <w:r>
        <w:t xml:space="preserve"> et al. note that culturally and linguistically diverse patients—such as migrants and refugees—access healthcare services far less than host populations due to distinct legal and linguistic barriers and differences in health beliefs (</w:t>
      </w:r>
      <w:proofErr w:type="spellStart"/>
      <w:r>
        <w:t>Handtke</w:t>
      </w:r>
      <w:proofErr w:type="spellEnd"/>
      <w:r>
        <w:t xml:space="preserve"> et al., 2019, p. 1). In the context of data engineering and public policy, these barriers manifest as missing or corrupted data. When rural or marginalized populations are excluded from the healthcare system due to structural barriers, their clinical data is never systematically captured. Consequently, any predictive AI models trained on this incomplete infrastructure will be inherently biased against vulnerable populations. This prevents governments from accurately assessing the holistic health of their human capital, thereby perpetuating inequitable resource allocation. </w:t>
      </w:r>
    </w:p>
    <w:p w14:paraId="55B59368" w14:textId="727A4C61" w:rsidR="00374315" w:rsidRDefault="00374315" w:rsidP="00374315">
      <w:pPr>
        <w:spacing w:after="0" w:line="480" w:lineRule="auto"/>
        <w:ind w:firstLine="720"/>
        <w:contextualSpacing/>
      </w:pPr>
      <w:r>
        <w:t xml:space="preserve">Lastly, user acceptance functions as a fundamental dependent variable that dictates the overall success of healthcare's ongoing transformation. Sharp’s public health policy survey and the Swedish AI leadership study both frame their core inquiries around </w:t>
      </w:r>
      <w:r>
        <w:lastRenderedPageBreak/>
        <w:t xml:space="preserve">whether populations will accept the technology, rather than whether the technology simply functions technically. Sharp emphasizes that for public health policies to be effective, they must fundamentally be viewed as acceptable policies and processes that yield favorable results (Sharp et al., 2020, p. 802). Understanding healthcare leaders' perspectives is equally critical, as they dictate the implementation process of new technologies (Petersson et al., 2022, p. 1, 3). This underscores a vital assumption in the literature: acceptance is the gateway to data generation. Without acceptance, the feedback loop required for evidence-based policy correction collapses entirely. </w:t>
      </w:r>
    </w:p>
    <w:p w14:paraId="677E923B" w14:textId="77777777" w:rsidR="00D92A61" w:rsidRDefault="00D92A61" w:rsidP="00D92A61">
      <w:pPr>
        <w:spacing w:after="0" w:line="480" w:lineRule="auto"/>
        <w:contextualSpacing/>
        <w:rPr>
          <w:b/>
          <w:bCs/>
        </w:rPr>
      </w:pPr>
    </w:p>
    <w:p w14:paraId="219C1B0E" w14:textId="77777777" w:rsidR="00D92A61" w:rsidRDefault="00D92A61" w:rsidP="00D92A61">
      <w:pPr>
        <w:spacing w:after="0" w:line="480" w:lineRule="auto"/>
        <w:contextualSpacing/>
        <w:rPr>
          <w:b/>
          <w:bCs/>
        </w:rPr>
      </w:pPr>
      <w:r w:rsidRPr="00D92A61">
        <w:rPr>
          <w:b/>
          <w:bCs/>
        </w:rPr>
        <w:t>Section 2: Common Weaknesses or Limitations</w:t>
      </w:r>
    </w:p>
    <w:p w14:paraId="03350D8F" w14:textId="4E40A8E4" w:rsidR="00D92A61" w:rsidRDefault="00D92A61" w:rsidP="00D92A61">
      <w:pPr>
        <w:spacing w:after="0" w:line="480" w:lineRule="auto"/>
        <w:ind w:firstLine="720"/>
        <w:contextualSpacing/>
      </w:pPr>
      <w:r w:rsidRPr="00D92A61">
        <w:t>Despite the value of these studies presented above, the assessed articles share several significant methodological weaknesses. These are: a reliance on cross-sectional designs, small geographical qualitative samples, a complete lack of financial or economic metrics, an absence of emerging-economy contexts, and the bundling of multiple interventions.</w:t>
      </w:r>
    </w:p>
    <w:p w14:paraId="7CEBBE81" w14:textId="22326AB9" w:rsidR="00D92A61" w:rsidRDefault="00D92A61" w:rsidP="00374315">
      <w:pPr>
        <w:spacing w:after="0" w:line="480" w:lineRule="auto"/>
        <w:ind w:firstLine="720"/>
        <w:contextualSpacing/>
      </w:pPr>
      <w:r w:rsidRPr="00D92A61">
        <w:t xml:space="preserve">First, these works largely fail to establish causality because they utilize cross-sectional designs that only capture data at a single point in time. This approach prevents researchers from tracking how acceptance and behavior change as technology matures or as new policies indeed are implemented. </w:t>
      </w:r>
      <w:proofErr w:type="spellStart"/>
      <w:r w:rsidRPr="00D92A61">
        <w:t>Alkhwaldi</w:t>
      </w:r>
      <w:proofErr w:type="spellEnd"/>
      <w:r w:rsidRPr="00D92A61">
        <w:t xml:space="preserve"> also acknowledges that surveying 434 healthcare professionals via a one-time online survey makes it difficult prove the existence of causality (Alkhwaldi, 2023, p. 2135, 2154). Sharp et al. also relied on a cross-sectional national survey of 1,001 residents using a random stratified sampling method (Sharp et al., </w:t>
      </w:r>
      <w:r w:rsidRPr="00D92A61">
        <w:lastRenderedPageBreak/>
        <w:t xml:space="preserve">2020, p. 802). In the realm of public policy and institutional economics, cross-sectional designs are highly restrictive. Policy interventions, particularly those involving digital health infrastructure, take years to demonstrate a measurable impact on economic resilience. Without longitudinal tracking over a multi-year period, policymakers cannot determine whether an AI intervention indeed can produce sustainable health outcomes or merely generate only a temporary novel effect that fades once the initial implementation period concludes. </w:t>
      </w:r>
    </w:p>
    <w:p w14:paraId="75E87F98" w14:textId="3F06A4C4" w:rsidR="00D92A61" w:rsidRDefault="00D92A61" w:rsidP="00374315">
      <w:pPr>
        <w:spacing w:after="0" w:line="480" w:lineRule="auto"/>
        <w:ind w:firstLine="720"/>
        <w:contextualSpacing/>
      </w:pPr>
      <w:r w:rsidRPr="00D92A61">
        <w:t>Second, the studies also frequently utilized small, localized qualitative samples, several limiting their generalizability. The Swedish AI study and the Coombs Montana study both drew their conclusions and observations from narrow regions and small pools of information. Petersson et al. leveraged interviews with only 26 healthcare leaders (Petersson et al., 2022, p. 1), while Coombs et al. explored rural provider views within a highly specific demographic (Coombs et al., 2022, p. 12). Joseph and Thapa's health migrations study similarly drew exclusively from Latin American immigrants and providers in a single U.S. city, which, despite its interview data, limits the generalizability of its transnational healthcare practices findings to other immigrant populations or emerging-economy contexts (Joseph &amp; Thapa, 2026, p. 5). Generalizing findings from a well-funded, heavily regulated European or American health system to other cultures or resource-constrained emerging environments is scientifically unsound.</w:t>
      </w:r>
    </w:p>
    <w:p w14:paraId="6C7BCC6A" w14:textId="007DD1DB" w:rsidR="00D92A61" w:rsidRDefault="00D92A61" w:rsidP="00374315">
      <w:pPr>
        <w:spacing w:after="0" w:line="480" w:lineRule="auto"/>
        <w:ind w:firstLine="720"/>
        <w:contextualSpacing/>
      </w:pPr>
      <w:r w:rsidRPr="00D92A61">
        <w:t xml:space="preserve">Third, and perhaps most critically for economic policy research, these works completely lack financial or economic key performance indicators (KPIs). It is interesting to find that across all ten articles, there is no study that tests whether technology adoption </w:t>
      </w:r>
      <w:r w:rsidRPr="00D92A61">
        <w:lastRenderedPageBreak/>
        <w:t>changes actual spending behavior or improves systemic healthcare metrics in their populations. The authors measure attitudes and intentions, but they fail to evaluate the macroeconomic, budgetary, or human capital impacts on society and populations. Scientific research questions must be falsifiable; they require empirical data. In our articles, because these works fail to measure the financial shift from reactive crisis management to proactive aid, they simply cannot prove the ultimate institutional value of the digital systems they study.</w:t>
      </w:r>
    </w:p>
    <w:p w14:paraId="1FCB7E1C" w14:textId="27AB2A20" w:rsidR="00D92A61" w:rsidRDefault="00D92A61" w:rsidP="00374315">
      <w:pPr>
        <w:spacing w:after="0" w:line="480" w:lineRule="auto"/>
        <w:ind w:firstLine="720"/>
        <w:contextualSpacing/>
      </w:pPr>
      <w:r w:rsidRPr="00D92A61">
        <w:t>Fourth, our emerging-economy context is almost entirely absent from this body of literature. The settings represented are - Taiwan, Sweden, Wales, Boston, and Montana - these are highly developed (Sharp et al., 2020, p. 803). While Jordan represents a developing economy, the framing provided by the authors remains centered exclusively on the acceptance of Business Intelligence, rather than on the realities of resource-constrained public health infrastructure (</w:t>
      </w:r>
      <w:proofErr w:type="spellStart"/>
      <w:r w:rsidRPr="00D92A61">
        <w:t>Alkhwaldi</w:t>
      </w:r>
      <w:proofErr w:type="spellEnd"/>
      <w:r w:rsidRPr="00D92A61">
        <w:t xml:space="preserve">, 2023, p. 2135). This is a massive oversight. Emerging economies possess a distinct structural advantage: the absence of legacy health IT systems potentially allows them to “leapfrog” outdated technologies and build agile, interoperable digital health infrastructures from the ground up. By ignoring these nations, the literature missed the opportunity to study the most fertile ground for modern </w:t>
      </w:r>
      <w:proofErr w:type="spellStart"/>
      <w:r w:rsidRPr="00D92A61">
        <w:t>MLOps</w:t>
      </w:r>
      <w:proofErr w:type="spellEnd"/>
      <w:r w:rsidRPr="00D92A61">
        <w:t xml:space="preserve"> and agentic AI deployment in healthcare. </w:t>
      </w:r>
    </w:p>
    <w:p w14:paraId="6A93FA6F" w14:textId="4A90604E" w:rsidR="00D92A61" w:rsidRDefault="00D92A61" w:rsidP="00374315">
      <w:pPr>
        <w:spacing w:after="0" w:line="480" w:lineRule="auto"/>
        <w:ind w:firstLine="720"/>
        <w:contextualSpacing/>
      </w:pPr>
      <w:r w:rsidRPr="00D92A61">
        <w:t xml:space="preserve">Finally, the bundling of multiple interventions </w:t>
      </w:r>
      <w:proofErr w:type="spellStart"/>
      <w:r w:rsidRPr="00D92A61">
        <w:t>andpractices</w:t>
      </w:r>
      <w:proofErr w:type="spellEnd"/>
      <w:r w:rsidRPr="00D92A61">
        <w:t xml:space="preserve"> has introduced complexity in the isolation of specific causal variables. </w:t>
      </w:r>
      <w:proofErr w:type="spellStart"/>
      <w:r w:rsidRPr="00D92A61">
        <w:t>Handtke</w:t>
      </w:r>
      <w:proofErr w:type="spellEnd"/>
      <w:r w:rsidRPr="00D92A61">
        <w:t xml:space="preserve"> et al. noted that analyzing highly heterogeneous groups makes pinpointing specific needs difficult (</w:t>
      </w:r>
      <w:proofErr w:type="spellStart"/>
      <w:r w:rsidRPr="00D92A61">
        <w:t>Handtke</w:t>
      </w:r>
      <w:proofErr w:type="spellEnd"/>
      <w:r w:rsidRPr="00D92A61">
        <w:t xml:space="preserve"> et al., 2019, p. 18). </w:t>
      </w:r>
      <w:proofErr w:type="spellStart"/>
      <w:r w:rsidRPr="00D92A61">
        <w:t>Lebano</w:t>
      </w:r>
      <w:proofErr w:type="spellEnd"/>
      <w:r w:rsidRPr="00D92A61">
        <w:t xml:space="preserve"> et al. echo this in his work by stating that analyzing multiple </w:t>
      </w:r>
      <w:r w:rsidRPr="00D92A61">
        <w:lastRenderedPageBreak/>
        <w:t>components simultaneously yields small or insignificant observed effects, making specific policy effectiveness difficult to clearly and appropriately evaluate (</w:t>
      </w:r>
      <w:proofErr w:type="spellStart"/>
      <w:r w:rsidRPr="00D92A61">
        <w:t>Lebano</w:t>
      </w:r>
      <w:proofErr w:type="spellEnd"/>
      <w:r w:rsidRPr="00D92A61">
        <w:t xml:space="preserve"> et al., 2020, p. 9). When a study bundles cloud adoption, AI integration, and new privacy laws into a single independent variable (bundling), it makes it much more difficult for researchers to accurately identify which specific mechanism drove the change in healthcare delivery.</w:t>
      </w:r>
      <w:r w:rsidRPr="00D92A61">
        <w:br/>
      </w:r>
      <w:r w:rsidRPr="00D92A61">
        <w:br/>
      </w:r>
      <w:r w:rsidRPr="00D92A61">
        <w:rPr>
          <w:b/>
          <w:bCs/>
        </w:rPr>
        <w:t>Section 3: Implications for Future Research</w:t>
      </w:r>
    </w:p>
    <w:p w14:paraId="4E28F4E8" w14:textId="718085A5" w:rsidR="00D92A61" w:rsidRDefault="00D92A61" w:rsidP="00374315">
      <w:pPr>
        <w:spacing w:after="0" w:line="480" w:lineRule="auto"/>
        <w:ind w:firstLine="720"/>
        <w:contextualSpacing/>
      </w:pPr>
      <w:r w:rsidRPr="00D92A61">
        <w:t>The assessed literature relies heavily on established theoretical models, notably those like the Unified Theory of Acceptance and Use of Technology (UTAUT) (Alkhwaldi, 2023), the Theory of Planned Behavior combined with Privacy Calculus Theory (</w:t>
      </w:r>
      <w:proofErr w:type="spellStart"/>
      <w:r w:rsidRPr="00D92A61">
        <w:t>Alraja</w:t>
      </w:r>
      <w:proofErr w:type="spellEnd"/>
      <w:r w:rsidRPr="00D92A61">
        <w:t xml:space="preserve">, 2022), and Partial Least Squares (PLS-SEM) statistical frameworks (Alkhwaldi, 2023; </w:t>
      </w:r>
      <w:proofErr w:type="spellStart"/>
      <w:r w:rsidRPr="00D92A61">
        <w:t>Alraja</w:t>
      </w:r>
      <w:proofErr w:type="spellEnd"/>
      <w:r w:rsidRPr="00D92A61">
        <w:t>, 2022; Wu et al., 2009). For example, Wu et al. utilized the PLS method to validate surveys that were administered to over 159 professionals in Taiwan (Wu et al., 2009, p. 72). A major theoretical implication for future research is the necessity of expanding frameworks like UTAUT to encompass macroeconomic constraints. Current frameworks explain why individuals adopt technology; future frameworks must explain how that aggregate adoption directly alters institution governance and national resource allocation.</w:t>
      </w:r>
    </w:p>
    <w:p w14:paraId="2681115B" w14:textId="4A1CCE73" w:rsidR="00D92A61" w:rsidRDefault="00D92A61" w:rsidP="00374315">
      <w:pPr>
        <w:spacing w:after="0" w:line="480" w:lineRule="auto"/>
        <w:ind w:firstLine="720"/>
        <w:contextualSpacing/>
      </w:pPr>
      <w:r w:rsidRPr="00D92A61">
        <w:t xml:space="preserve">Furthermore, nearly every article calls for research to move beyond measuring the mere intention that individuals convey to adopt, and move towards actual implementation strategy, capacity-building, and regulatory design. In the Swedish study, it is explicitly called out that new laws and policies are needed to better regulate the design and the execution of effective AI strategies, asserting that existing laws have not kept pace with </w:t>
      </w:r>
      <w:r w:rsidRPr="00D92A61">
        <w:lastRenderedPageBreak/>
        <w:t>technological developments (Petersson et al., 2022, p. 1). Future policy research must investigate how to build monitoring and evaluation (M&amp;E) processes directly into the digital infrastructure by design, rather than always treating it as an afterthought. Public policies should require rigorous reevaluation based on empirical and macroeconomic data so that policy makers can implement greatly improved regulatory frameworks and processes.</w:t>
      </w:r>
    </w:p>
    <w:p w14:paraId="75409532" w14:textId="7087D847" w:rsidR="00D92A61" w:rsidRDefault="00D92A61" w:rsidP="00374315">
      <w:pPr>
        <w:spacing w:after="0" w:line="480" w:lineRule="auto"/>
        <w:ind w:firstLine="720"/>
        <w:contextualSpacing/>
      </w:pPr>
      <w:r w:rsidRPr="00D92A61">
        <w:t>A third, critical methodological implication arises from the literature’s omissions: future research must seek to introduce economic and financial outcome measures. Because these current studies only analyze whether people will adopt technology and ignore what happens to institutional spending once the adoption occurs, there is a mandate for new methodologies. Another observation is that future researchers should also utilize simulated environments, synthetic clinical data, or pilot Retrieval-Augmented Generation (RAG) frameworks to generate empirical financial data in low-resource settings. Lastly, equity-focused research and technology-adoption research currently run on separate tracks. Future studies must bridge this gap by empirically testing whether the specific populations most affected by these structural access barriers are, in fact, the exact populations that these digital health interventions are successfully reaching.</w:t>
      </w:r>
      <w:r w:rsidRPr="00D92A61">
        <w:br/>
      </w:r>
      <w:r w:rsidRPr="00D92A61">
        <w:br/>
      </w:r>
      <w:r w:rsidRPr="00D92A61">
        <w:rPr>
          <w:b/>
          <w:bCs/>
        </w:rPr>
        <w:t>Section 4: Scientific Research Question</w:t>
      </w:r>
    </w:p>
    <w:p w14:paraId="674BF7C3" w14:textId="045613C1" w:rsidR="00374315" w:rsidRDefault="00D92A61" w:rsidP="00374315">
      <w:pPr>
        <w:spacing w:after="0" w:line="480" w:lineRule="auto"/>
        <w:ind w:firstLine="720"/>
        <w:contextualSpacing/>
      </w:pPr>
      <w:r w:rsidRPr="00D92A61">
        <w:t xml:space="preserve">Given the gaps presented in these articles - specifically the lack of economic metrics, the absence of the emerging-market context and the need to bridge the gap which exists between technological capabilities with public health policy - I have formulated the following scientific research question: </w:t>
      </w:r>
      <w:r w:rsidRPr="00D92A61">
        <w:br/>
      </w:r>
      <w:r w:rsidRPr="00D92A61">
        <w:lastRenderedPageBreak/>
        <w:t>“To what extent does the implementation of predictive AI models and interoperable digital health architecture help to reduce reactive crisis spending in health interventions within emerging economies?”</w:t>
      </w:r>
    </w:p>
    <w:p w14:paraId="044BC670" w14:textId="42730947" w:rsidR="00374315" w:rsidRDefault="00374315" w:rsidP="00374315">
      <w:pPr>
        <w:spacing w:after="0" w:line="480" w:lineRule="auto"/>
        <w:ind w:firstLine="720"/>
        <w:contextualSpacing/>
      </w:pPr>
      <w:r>
        <w:t xml:space="preserve">This question is presented in the form of a question as it should. It is highly </w:t>
      </w:r>
      <w:r>
        <w:t>testable and</w:t>
      </w:r>
      <w:r>
        <w:t xml:space="preserve"> is strictly falsifiable. In other words, a null result - that is finding no statistically significant relationship between the deployment of AI architectures and a reduction in reactive budgetary allocation indeed is a mathematically possible outcome. This question also specifically targets the economic dependent variables missing from the current research presented in these works. The question allows for an empirical analysis of how technological “leapfrogging” indeed can serve as a prerequisite for fiscal transparency and it allows for targeted aid allocation.</w:t>
      </w:r>
    </w:p>
    <w:p w14:paraId="6A085688" w14:textId="77777777" w:rsidR="00374315" w:rsidRDefault="00374315" w:rsidP="00374315">
      <w:pPr>
        <w:spacing w:after="0" w:line="480" w:lineRule="auto"/>
        <w:contextualSpacing/>
      </w:pPr>
    </w:p>
    <w:p w14:paraId="5CEC80D0" w14:textId="77777777" w:rsidR="00374315" w:rsidRPr="00374315" w:rsidRDefault="00374315" w:rsidP="00374315">
      <w:pPr>
        <w:spacing w:after="0" w:line="480" w:lineRule="auto"/>
        <w:contextualSpacing/>
        <w:rPr>
          <w:b/>
          <w:bCs/>
        </w:rPr>
      </w:pPr>
      <w:r w:rsidRPr="00374315">
        <w:rPr>
          <w:b/>
          <w:bCs/>
        </w:rPr>
        <w:t>Conclusion</w:t>
      </w:r>
    </w:p>
    <w:p w14:paraId="78168A7E" w14:textId="53018984" w:rsidR="00374315" w:rsidRDefault="00374315" w:rsidP="00374315">
      <w:pPr>
        <w:spacing w:after="0" w:line="480" w:lineRule="auto"/>
        <w:contextualSpacing/>
      </w:pPr>
      <w:r>
        <w:tab/>
        <w:t xml:space="preserve">Overall, the assessment of these 10 peer-reviewed articles has been insightful and an enriching activity. It has provided me with a robust understanding of the methodologies that are prevalent in current healthcare policy literature. Through the identification of these common themes of trust and user acceptance, while isolating the critical weaknesses of cross-sectional designs and non-existent economic metrics and </w:t>
      </w:r>
      <w:r w:rsidR="00D92A61">
        <w:t>KPIs</w:t>
      </w:r>
      <w:r>
        <w:t xml:space="preserve">, this review has established for me a clear framework for rigorous doctoral research. The common patterns in the research methodologies and the similar gaps identified have provided to me a much more solid understanding of what the dissertation process requires. Ultimately, proving that modern digital infrastructures can shift governments from a reactive crisis </w:t>
      </w:r>
      <w:r>
        <w:lastRenderedPageBreak/>
        <w:t xml:space="preserve">management to proactive human capital development will require empirical, longitudinal economic data, and I look forward to applying these principles to my own research work. </w:t>
      </w:r>
    </w:p>
    <w:p w14:paraId="13CC094C" w14:textId="77777777" w:rsidR="00374315" w:rsidRDefault="00374315" w:rsidP="00374315">
      <w:pPr>
        <w:spacing w:after="0" w:line="480" w:lineRule="auto"/>
        <w:contextualSpacing/>
      </w:pPr>
    </w:p>
    <w:p w14:paraId="158D7676" w14:textId="77777777" w:rsidR="00374315" w:rsidRDefault="00374315" w:rsidP="00374315">
      <w:pPr>
        <w:spacing w:after="0" w:line="480" w:lineRule="auto"/>
        <w:contextualSpacing/>
      </w:pPr>
    </w:p>
    <w:p w14:paraId="6F065C24" w14:textId="77777777" w:rsidR="00374315" w:rsidRPr="00374315" w:rsidRDefault="00374315" w:rsidP="00374315">
      <w:pPr>
        <w:spacing w:after="0" w:line="480" w:lineRule="auto"/>
        <w:contextualSpacing/>
        <w:rPr>
          <w:b/>
          <w:bCs/>
        </w:rPr>
      </w:pPr>
      <w:r w:rsidRPr="00374315">
        <w:rPr>
          <w:b/>
          <w:bCs/>
        </w:rPr>
        <w:t>References</w:t>
      </w:r>
    </w:p>
    <w:p w14:paraId="6209B1A9" w14:textId="77777777" w:rsidR="00374315" w:rsidRDefault="00374315" w:rsidP="00374315">
      <w:pPr>
        <w:spacing w:after="0" w:line="480" w:lineRule="auto"/>
        <w:contextualSpacing/>
      </w:pPr>
    </w:p>
    <w:p w14:paraId="28F17F7B" w14:textId="1D5B780F" w:rsidR="00374315" w:rsidRDefault="00374315" w:rsidP="00374315">
      <w:pPr>
        <w:spacing w:after="0" w:line="480" w:lineRule="auto"/>
        <w:contextualSpacing/>
      </w:pPr>
      <w:r>
        <w:t xml:space="preserve">Alkhwaldi, A. F. (2023). Understanding the acceptance of business intelligence from healthcare professionals' perspective: An empirical study of healthcare organizations. </w:t>
      </w:r>
      <w:r w:rsidRPr="00374315">
        <w:rPr>
          <w:i/>
          <w:iCs/>
        </w:rPr>
        <w:t>International Journal of Organizational Analysis, 32</w:t>
      </w:r>
      <w:r>
        <w:t xml:space="preserve">(9), 2135–2163. </w:t>
      </w:r>
      <w:hyperlink r:id="rId4" w:history="1">
        <w:r w:rsidRPr="00731AF5">
          <w:rPr>
            <w:rStyle w:val="Hyperlink"/>
          </w:rPr>
          <w:t>https://doi.org/10.1108/IJOA-10-2023-4063</w:t>
        </w:r>
      </w:hyperlink>
      <w:r>
        <w:t xml:space="preserve"> </w:t>
      </w:r>
      <w:r>
        <w:t xml:space="preserve"> </w:t>
      </w:r>
      <w:r>
        <w:t xml:space="preserve"> </w:t>
      </w:r>
    </w:p>
    <w:p w14:paraId="53B4586A" w14:textId="77777777" w:rsidR="00374315" w:rsidRDefault="00374315" w:rsidP="00374315">
      <w:pPr>
        <w:spacing w:after="0" w:line="480" w:lineRule="auto"/>
        <w:contextualSpacing/>
      </w:pPr>
    </w:p>
    <w:p w14:paraId="48B0C654" w14:textId="111DE60D" w:rsidR="00374315" w:rsidRDefault="00374315" w:rsidP="00374315">
      <w:pPr>
        <w:spacing w:after="0" w:line="480" w:lineRule="auto"/>
        <w:contextualSpacing/>
      </w:pPr>
      <w:proofErr w:type="spellStart"/>
      <w:r>
        <w:t>Alraja</w:t>
      </w:r>
      <w:proofErr w:type="spellEnd"/>
      <w:r>
        <w:t xml:space="preserve">, M. (2022). Frontline healthcare providers' </w:t>
      </w:r>
      <w:proofErr w:type="spellStart"/>
      <w:r>
        <w:t>behavioural</w:t>
      </w:r>
      <w:proofErr w:type="spellEnd"/>
      <w:r>
        <w:t xml:space="preserve"> intention to Internet of Things (IoT)-enabled healthcare applications: A gender-based, cross-generational study. </w:t>
      </w:r>
      <w:r w:rsidRPr="00374315">
        <w:rPr>
          <w:i/>
          <w:iCs/>
        </w:rPr>
        <w:t>Technological Forecasting and Social Change, 174</w:t>
      </w:r>
      <w:r>
        <w:t xml:space="preserve">, Article 121256. </w:t>
      </w:r>
      <w:hyperlink r:id="rId5" w:history="1">
        <w:r w:rsidRPr="00731AF5">
          <w:rPr>
            <w:rStyle w:val="Hyperlink"/>
          </w:rPr>
          <w:t>https://doi.org/10.1016/j.techfore.2021.121256</w:t>
        </w:r>
      </w:hyperlink>
      <w:r>
        <w:t xml:space="preserve"> </w:t>
      </w:r>
      <w:r>
        <w:t xml:space="preserve"> </w:t>
      </w:r>
      <w:r>
        <w:t xml:space="preserve">  </w:t>
      </w:r>
    </w:p>
    <w:p w14:paraId="40B56CF7" w14:textId="77777777" w:rsidR="00374315" w:rsidRDefault="00374315" w:rsidP="00374315">
      <w:pPr>
        <w:spacing w:after="0" w:line="480" w:lineRule="auto"/>
        <w:contextualSpacing/>
      </w:pPr>
    </w:p>
    <w:p w14:paraId="0B222184" w14:textId="6C75B83E" w:rsidR="00374315" w:rsidRDefault="00374315" w:rsidP="00374315">
      <w:pPr>
        <w:spacing w:after="0" w:line="480" w:lineRule="auto"/>
        <w:contextualSpacing/>
      </w:pPr>
      <w:r>
        <w:t xml:space="preserve">Beaulieu, M., &amp; Bentahar, O. (2021). Digitalization of the healthcare supply chain: A roadmap to generate benefits and effectively support healthcare delivery. </w:t>
      </w:r>
      <w:r w:rsidRPr="00374315">
        <w:rPr>
          <w:i/>
          <w:iCs/>
        </w:rPr>
        <w:t>Technological Forecasting and Social Change, 167</w:t>
      </w:r>
      <w:r>
        <w:t xml:space="preserve">, Article 120717. </w:t>
      </w:r>
      <w:hyperlink r:id="rId6" w:history="1">
        <w:r w:rsidRPr="00731AF5">
          <w:rPr>
            <w:rStyle w:val="Hyperlink"/>
          </w:rPr>
          <w:t>https://doi.org/10.1016/j.techfore.2021.120717</w:t>
        </w:r>
      </w:hyperlink>
      <w:r>
        <w:t xml:space="preserve"> </w:t>
      </w:r>
      <w:r>
        <w:t xml:space="preserve"> </w:t>
      </w:r>
    </w:p>
    <w:p w14:paraId="376C7A01" w14:textId="77777777" w:rsidR="00374315" w:rsidRDefault="00374315" w:rsidP="00374315">
      <w:pPr>
        <w:spacing w:after="0" w:line="480" w:lineRule="auto"/>
        <w:contextualSpacing/>
      </w:pPr>
    </w:p>
    <w:p w14:paraId="579142EA" w14:textId="727C4360" w:rsidR="00374315" w:rsidRDefault="00374315" w:rsidP="00374315">
      <w:pPr>
        <w:spacing w:after="0" w:line="480" w:lineRule="auto"/>
        <w:contextualSpacing/>
      </w:pPr>
      <w:r>
        <w:lastRenderedPageBreak/>
        <w:t xml:space="preserve">Coombs, N. C., Campbell, D. G., &amp; Caringi, J. (2022). A qualitative study of rural healthcare providers' views of social, cultural, and programmatic barriers to healthcare access. </w:t>
      </w:r>
      <w:r w:rsidRPr="00374315">
        <w:rPr>
          <w:i/>
          <w:iCs/>
        </w:rPr>
        <w:t>BMC Health Services Research, 22</w:t>
      </w:r>
      <w:r>
        <w:t xml:space="preserve">, Article 438. </w:t>
      </w:r>
      <w:hyperlink r:id="rId7" w:history="1">
        <w:r w:rsidRPr="00731AF5">
          <w:rPr>
            <w:rStyle w:val="Hyperlink"/>
          </w:rPr>
          <w:t>https://doi.org/10.1186/s12913-022-07829-2</w:t>
        </w:r>
      </w:hyperlink>
      <w:r>
        <w:t xml:space="preserve"> </w:t>
      </w:r>
      <w:r>
        <w:t xml:space="preserve"> </w:t>
      </w:r>
    </w:p>
    <w:p w14:paraId="7AC100F1" w14:textId="77777777" w:rsidR="00374315" w:rsidRDefault="00374315" w:rsidP="00374315">
      <w:pPr>
        <w:spacing w:after="0" w:line="480" w:lineRule="auto"/>
        <w:contextualSpacing/>
      </w:pPr>
    </w:p>
    <w:p w14:paraId="594E1A01" w14:textId="7D24D4A0" w:rsidR="00374315" w:rsidRDefault="00374315" w:rsidP="00374315">
      <w:pPr>
        <w:spacing w:after="0" w:line="480" w:lineRule="auto"/>
        <w:contextualSpacing/>
      </w:pPr>
      <w:r>
        <w:t xml:space="preserve">Handtke, O., Schilgen, B., &amp; </w:t>
      </w:r>
      <w:proofErr w:type="spellStart"/>
      <w:r>
        <w:t>Mösko</w:t>
      </w:r>
      <w:proofErr w:type="spellEnd"/>
      <w:r>
        <w:t xml:space="preserve">, M. (2019). Culturally competent healthcare – A scoping review of strategies implemented in healthcare organizations and a model of culturally competent healthcare provision. </w:t>
      </w:r>
      <w:r w:rsidRPr="00374315">
        <w:rPr>
          <w:i/>
          <w:iCs/>
        </w:rPr>
        <w:t>PLOS ONE, 14</w:t>
      </w:r>
      <w:r>
        <w:t xml:space="preserve">(7), Article e0219971. </w:t>
      </w:r>
      <w:hyperlink r:id="rId8" w:history="1">
        <w:r w:rsidRPr="00731AF5">
          <w:rPr>
            <w:rStyle w:val="Hyperlink"/>
          </w:rPr>
          <w:t>https://doi.org/10.1371/journal.pone.0219971</w:t>
        </w:r>
      </w:hyperlink>
      <w:r>
        <w:t xml:space="preserve"> </w:t>
      </w:r>
      <w:r>
        <w:t xml:space="preserve"> </w:t>
      </w:r>
    </w:p>
    <w:p w14:paraId="24488D54" w14:textId="77777777" w:rsidR="00374315" w:rsidRDefault="00374315" w:rsidP="00374315">
      <w:pPr>
        <w:spacing w:after="0" w:line="480" w:lineRule="auto"/>
        <w:contextualSpacing/>
      </w:pPr>
    </w:p>
    <w:p w14:paraId="0E6297C0" w14:textId="77777777" w:rsidR="00374315" w:rsidRPr="00374315" w:rsidRDefault="00374315" w:rsidP="00374315">
      <w:pPr>
        <w:spacing w:after="0" w:line="480" w:lineRule="auto"/>
        <w:contextualSpacing/>
        <w:rPr>
          <w:lang w:val="es-ES"/>
        </w:rPr>
      </w:pPr>
      <w:r>
        <w:t xml:space="preserve">Joseph, T. D., &amp; Thapa, V. (2026). Health migrations: How pre-migration healthcare experiences and US healthcare challenges shape immigrants' transnational healthcare practices. </w:t>
      </w:r>
      <w:r w:rsidRPr="00374315">
        <w:rPr>
          <w:i/>
          <w:iCs/>
          <w:lang w:val="es-ES"/>
        </w:rPr>
        <w:t xml:space="preserve">Social </w:t>
      </w:r>
      <w:proofErr w:type="spellStart"/>
      <w:r w:rsidRPr="00374315">
        <w:rPr>
          <w:i/>
          <w:iCs/>
          <w:lang w:val="es-ES"/>
        </w:rPr>
        <w:t>Science</w:t>
      </w:r>
      <w:proofErr w:type="spellEnd"/>
      <w:r w:rsidRPr="00374315">
        <w:rPr>
          <w:i/>
          <w:iCs/>
          <w:lang w:val="es-ES"/>
        </w:rPr>
        <w:t xml:space="preserve"> &amp; Medicine, 402</w:t>
      </w:r>
      <w:r w:rsidRPr="00374315">
        <w:rPr>
          <w:lang w:val="es-ES"/>
        </w:rPr>
        <w:t xml:space="preserve">, </w:t>
      </w:r>
      <w:proofErr w:type="spellStart"/>
      <w:r w:rsidRPr="00374315">
        <w:rPr>
          <w:lang w:val="es-ES"/>
        </w:rPr>
        <w:t>Article</w:t>
      </w:r>
      <w:proofErr w:type="spellEnd"/>
      <w:r w:rsidRPr="00374315">
        <w:rPr>
          <w:lang w:val="es-ES"/>
        </w:rPr>
        <w:t xml:space="preserve"> 119382. https://doi.org/10.1016/j.socscimed.2026.119382 </w:t>
      </w:r>
    </w:p>
    <w:p w14:paraId="7764581E" w14:textId="77777777" w:rsidR="00374315" w:rsidRPr="00374315" w:rsidRDefault="00374315" w:rsidP="00374315">
      <w:pPr>
        <w:spacing w:after="0" w:line="480" w:lineRule="auto"/>
        <w:contextualSpacing/>
        <w:rPr>
          <w:lang w:val="es-ES"/>
        </w:rPr>
      </w:pPr>
    </w:p>
    <w:p w14:paraId="5F958004" w14:textId="5990F668" w:rsidR="00374315" w:rsidRDefault="00374315" w:rsidP="00374315">
      <w:pPr>
        <w:spacing w:after="0" w:line="480" w:lineRule="auto"/>
        <w:contextualSpacing/>
      </w:pPr>
      <w:proofErr w:type="spellStart"/>
      <w:r w:rsidRPr="00374315">
        <w:rPr>
          <w:lang w:val="es-ES"/>
        </w:rPr>
        <w:t>Lebano</w:t>
      </w:r>
      <w:proofErr w:type="spellEnd"/>
      <w:r w:rsidRPr="00374315">
        <w:rPr>
          <w:lang w:val="es-ES"/>
        </w:rPr>
        <w:t xml:space="preserve">, A., Hamed, S., Bradby, H., Gil-Salmerón, A., </w:t>
      </w:r>
      <w:proofErr w:type="spellStart"/>
      <w:r w:rsidRPr="00374315">
        <w:rPr>
          <w:lang w:val="es-ES"/>
        </w:rPr>
        <w:t>Durá</w:t>
      </w:r>
      <w:proofErr w:type="spellEnd"/>
      <w:r w:rsidRPr="00374315">
        <w:rPr>
          <w:lang w:val="es-ES"/>
        </w:rPr>
        <w:t xml:space="preserve">-Ferrandis, E., Garcés-Ferrer, J., Azzedine, F., Riza, E., Karnaki, P., Zota, D., &amp; Linos, A. (2020). </w:t>
      </w:r>
      <w:r>
        <w:t xml:space="preserve">Migrants' and refugees' health status and healthcare in Europe: A scoping literature review. </w:t>
      </w:r>
      <w:r w:rsidRPr="00374315">
        <w:rPr>
          <w:i/>
          <w:iCs/>
        </w:rPr>
        <w:t>BMC Public Health, 20</w:t>
      </w:r>
      <w:r>
        <w:t xml:space="preserve">, Article 1039. </w:t>
      </w:r>
      <w:hyperlink r:id="rId9" w:history="1">
        <w:r w:rsidRPr="00731AF5">
          <w:rPr>
            <w:rStyle w:val="Hyperlink"/>
          </w:rPr>
          <w:t>https://doi.org/10.1186/s12889-020-08749-8</w:t>
        </w:r>
      </w:hyperlink>
      <w:r>
        <w:t xml:space="preserve"> </w:t>
      </w:r>
      <w:r>
        <w:t xml:space="preserve"> </w:t>
      </w:r>
    </w:p>
    <w:p w14:paraId="055D02E2" w14:textId="77777777" w:rsidR="00374315" w:rsidRDefault="00374315" w:rsidP="00374315">
      <w:pPr>
        <w:spacing w:after="0" w:line="480" w:lineRule="auto"/>
        <w:contextualSpacing/>
      </w:pPr>
    </w:p>
    <w:p w14:paraId="5C443B04" w14:textId="2CDA5D1A" w:rsidR="00374315" w:rsidRDefault="00374315" w:rsidP="00374315">
      <w:pPr>
        <w:spacing w:after="0" w:line="480" w:lineRule="auto"/>
        <w:contextualSpacing/>
      </w:pPr>
      <w:r>
        <w:t xml:space="preserve">Petersson, L., Larsson, I., Nygren, J. M., Nilsen, P., Neher, M., Reed, J. E., </w:t>
      </w:r>
      <w:proofErr w:type="spellStart"/>
      <w:r>
        <w:t>Tyskbo</w:t>
      </w:r>
      <w:proofErr w:type="spellEnd"/>
      <w:r>
        <w:t xml:space="preserve">, D., &amp; Svedberg, P. (2022). Challenges to implementing artificial intelligence in healthcare: A </w:t>
      </w:r>
      <w:r>
        <w:lastRenderedPageBreak/>
        <w:t xml:space="preserve">qualitative interview study with healthcare leaders in Sweden. </w:t>
      </w:r>
      <w:r w:rsidRPr="00374315">
        <w:rPr>
          <w:i/>
          <w:iCs/>
        </w:rPr>
        <w:t>BMC Health Services Research, 22</w:t>
      </w:r>
      <w:r>
        <w:t xml:space="preserve">, Article 850. </w:t>
      </w:r>
      <w:hyperlink r:id="rId10" w:history="1">
        <w:r w:rsidRPr="00731AF5">
          <w:rPr>
            <w:rStyle w:val="Hyperlink"/>
          </w:rPr>
          <w:t>https://doi.org/10.1186/s12913-022-08215-8</w:t>
        </w:r>
      </w:hyperlink>
      <w:r>
        <w:t xml:space="preserve"> </w:t>
      </w:r>
      <w:r>
        <w:t xml:space="preserve"> </w:t>
      </w:r>
    </w:p>
    <w:p w14:paraId="4098FB05" w14:textId="77777777" w:rsidR="00374315" w:rsidRDefault="00374315" w:rsidP="00374315">
      <w:pPr>
        <w:spacing w:after="0" w:line="480" w:lineRule="auto"/>
        <w:contextualSpacing/>
      </w:pPr>
    </w:p>
    <w:p w14:paraId="47E2BE3E" w14:textId="4C193E2C" w:rsidR="00374315" w:rsidRDefault="00374315" w:rsidP="00374315">
      <w:pPr>
        <w:spacing w:after="0" w:line="480" w:lineRule="auto"/>
        <w:contextualSpacing/>
      </w:pPr>
      <w:r>
        <w:t xml:space="preserve">Sharp, C. A., Bellis, M. A., Hughes, K., Ford, K., &amp; Di Lemma, L. C. G. (2020). Public acceptability of public health policy to improve population health: A population-based survey. </w:t>
      </w:r>
      <w:r w:rsidRPr="00374315">
        <w:rPr>
          <w:i/>
          <w:iCs/>
        </w:rPr>
        <w:t>Health Expectations, 23</w:t>
      </w:r>
      <w:r>
        <w:t xml:space="preserve">(4), 802–812. </w:t>
      </w:r>
      <w:hyperlink r:id="rId11" w:history="1">
        <w:r w:rsidRPr="00731AF5">
          <w:rPr>
            <w:rStyle w:val="Hyperlink"/>
          </w:rPr>
          <w:t>https://doi.org/10.1111/hex.13041</w:t>
        </w:r>
      </w:hyperlink>
      <w:r>
        <w:t xml:space="preserve"> </w:t>
      </w:r>
      <w:r>
        <w:t xml:space="preserve"> </w:t>
      </w:r>
    </w:p>
    <w:p w14:paraId="60A918AD" w14:textId="77777777" w:rsidR="00374315" w:rsidRDefault="00374315" w:rsidP="00374315">
      <w:pPr>
        <w:spacing w:after="0" w:line="480" w:lineRule="auto"/>
        <w:contextualSpacing/>
      </w:pPr>
    </w:p>
    <w:p w14:paraId="3B4AF5C2" w14:textId="07B20297" w:rsidR="00976F80" w:rsidRDefault="00374315" w:rsidP="00374315">
      <w:pPr>
        <w:spacing w:after="0" w:line="480" w:lineRule="auto"/>
        <w:contextualSpacing/>
      </w:pPr>
      <w:r>
        <w:t xml:space="preserve">Wu, J.-H., Chen, Y.-C., &amp; Greenes, R. A. (2009). Healthcare technology management competency and its impacts on IT–healthcare partnerships development. </w:t>
      </w:r>
      <w:r w:rsidRPr="00374315">
        <w:rPr>
          <w:i/>
          <w:iCs/>
        </w:rPr>
        <w:t>International Journal of Medical Informatics, 78</w:t>
      </w:r>
      <w:r>
        <w:t xml:space="preserve">(2), 71–82. </w:t>
      </w:r>
      <w:hyperlink r:id="rId12" w:history="1">
        <w:r w:rsidRPr="00731AF5">
          <w:rPr>
            <w:rStyle w:val="Hyperlink"/>
          </w:rPr>
          <w:t>https://doi.org/10.1016/j.ijmedinf.2008.05.007</w:t>
        </w:r>
      </w:hyperlink>
      <w:r>
        <w:t xml:space="preserve"> </w:t>
      </w:r>
    </w:p>
    <w:sectPr w:rsidR="00976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1D"/>
    <w:rsid w:val="00196C02"/>
    <w:rsid w:val="00374315"/>
    <w:rsid w:val="003C6D0C"/>
    <w:rsid w:val="005C416F"/>
    <w:rsid w:val="00976F80"/>
    <w:rsid w:val="00984F72"/>
    <w:rsid w:val="00A004DE"/>
    <w:rsid w:val="00A310E1"/>
    <w:rsid w:val="00AB5F92"/>
    <w:rsid w:val="00CF77D3"/>
    <w:rsid w:val="00D92A61"/>
    <w:rsid w:val="00E137FA"/>
    <w:rsid w:val="00E2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5A544D"/>
  <w15:chartTrackingRefBased/>
  <w15:docId w15:val="{C13BAAF6-9C59-EF40-AAA4-BA905B8B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A1D"/>
    <w:rPr>
      <w:rFonts w:eastAsiaTheme="majorEastAsia" w:cstheme="majorBidi"/>
      <w:color w:val="272727" w:themeColor="text1" w:themeTint="D8"/>
    </w:rPr>
  </w:style>
  <w:style w:type="paragraph" w:styleId="Title">
    <w:name w:val="Title"/>
    <w:basedOn w:val="Normal"/>
    <w:next w:val="Normal"/>
    <w:link w:val="TitleChar"/>
    <w:uiPriority w:val="10"/>
    <w:qFormat/>
    <w:rsid w:val="00E21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A1D"/>
    <w:pPr>
      <w:spacing w:before="160"/>
      <w:jc w:val="center"/>
    </w:pPr>
    <w:rPr>
      <w:i/>
      <w:iCs/>
      <w:color w:val="404040" w:themeColor="text1" w:themeTint="BF"/>
    </w:rPr>
  </w:style>
  <w:style w:type="character" w:customStyle="1" w:styleId="QuoteChar">
    <w:name w:val="Quote Char"/>
    <w:basedOn w:val="DefaultParagraphFont"/>
    <w:link w:val="Quote"/>
    <w:uiPriority w:val="29"/>
    <w:rsid w:val="00E21A1D"/>
    <w:rPr>
      <w:i/>
      <w:iCs/>
      <w:color w:val="404040" w:themeColor="text1" w:themeTint="BF"/>
    </w:rPr>
  </w:style>
  <w:style w:type="paragraph" w:styleId="ListParagraph">
    <w:name w:val="List Paragraph"/>
    <w:basedOn w:val="Normal"/>
    <w:uiPriority w:val="34"/>
    <w:qFormat/>
    <w:rsid w:val="00E21A1D"/>
    <w:pPr>
      <w:ind w:left="720"/>
      <w:contextualSpacing/>
    </w:pPr>
  </w:style>
  <w:style w:type="character" w:styleId="IntenseEmphasis">
    <w:name w:val="Intense Emphasis"/>
    <w:basedOn w:val="DefaultParagraphFont"/>
    <w:uiPriority w:val="21"/>
    <w:qFormat/>
    <w:rsid w:val="00E21A1D"/>
    <w:rPr>
      <w:i/>
      <w:iCs/>
      <w:color w:val="0F4761" w:themeColor="accent1" w:themeShade="BF"/>
    </w:rPr>
  </w:style>
  <w:style w:type="paragraph" w:styleId="IntenseQuote">
    <w:name w:val="Intense Quote"/>
    <w:basedOn w:val="Normal"/>
    <w:next w:val="Normal"/>
    <w:link w:val="IntenseQuoteChar"/>
    <w:uiPriority w:val="30"/>
    <w:qFormat/>
    <w:rsid w:val="00E21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A1D"/>
    <w:rPr>
      <w:i/>
      <w:iCs/>
      <w:color w:val="0F4761" w:themeColor="accent1" w:themeShade="BF"/>
    </w:rPr>
  </w:style>
  <w:style w:type="character" w:styleId="IntenseReference">
    <w:name w:val="Intense Reference"/>
    <w:basedOn w:val="DefaultParagraphFont"/>
    <w:uiPriority w:val="32"/>
    <w:qFormat/>
    <w:rsid w:val="00E21A1D"/>
    <w:rPr>
      <w:b/>
      <w:bCs/>
      <w:smallCaps/>
      <w:color w:val="0F4761" w:themeColor="accent1" w:themeShade="BF"/>
      <w:spacing w:val="5"/>
    </w:rPr>
  </w:style>
  <w:style w:type="paragraph" w:styleId="NormalWeb">
    <w:name w:val="Normal (Web)"/>
    <w:basedOn w:val="Normal"/>
    <w:uiPriority w:val="99"/>
    <w:semiHidden/>
    <w:unhideWhenUsed/>
    <w:rsid w:val="00E21A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E21A1D"/>
  </w:style>
  <w:style w:type="character" w:styleId="Hyperlink">
    <w:name w:val="Hyperlink"/>
    <w:basedOn w:val="DefaultParagraphFont"/>
    <w:uiPriority w:val="99"/>
    <w:unhideWhenUsed/>
    <w:rsid w:val="00374315"/>
    <w:rPr>
      <w:color w:val="467886" w:themeColor="hyperlink"/>
      <w:u w:val="single"/>
    </w:rPr>
  </w:style>
  <w:style w:type="character" w:styleId="UnresolvedMention">
    <w:name w:val="Unresolved Mention"/>
    <w:basedOn w:val="DefaultParagraphFont"/>
    <w:uiPriority w:val="99"/>
    <w:semiHidden/>
    <w:unhideWhenUsed/>
    <w:rsid w:val="00374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19971"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86/s12913-022-07829-2" TargetMode="External"/><Relationship Id="rId12" Type="http://schemas.openxmlformats.org/officeDocument/2006/relationships/hyperlink" Target="https://doi.org/10.1016/j.ijmedinf.2008.05.00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techfore.2021.120717" TargetMode="External"/><Relationship Id="rId11" Type="http://schemas.openxmlformats.org/officeDocument/2006/relationships/hyperlink" Target="https://doi.org/10.1111/hex.13041" TargetMode="External"/><Relationship Id="rId5" Type="http://schemas.openxmlformats.org/officeDocument/2006/relationships/hyperlink" Target="https://doi.org/10.1016/j.techfore.2021.121256" TargetMode="External"/><Relationship Id="rId10" Type="http://schemas.openxmlformats.org/officeDocument/2006/relationships/hyperlink" Target="https://doi.org/10.1186/s12913-022-08215-8" TargetMode="External"/><Relationship Id="rId4" Type="http://schemas.openxmlformats.org/officeDocument/2006/relationships/hyperlink" Target="https://doi.org/10.1108/IJOA-10-2023-4063" TargetMode="External"/><Relationship Id="rId9" Type="http://schemas.openxmlformats.org/officeDocument/2006/relationships/hyperlink" Target="https://doi.org/10.1186/s12889-020-08749-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3209</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Jones</dc:creator>
  <cp:keywords/>
  <dc:description/>
  <cp:lastModifiedBy>Ellen Jones</cp:lastModifiedBy>
  <cp:revision>11</cp:revision>
  <dcterms:created xsi:type="dcterms:W3CDTF">2026-09-19T12:02:00Z</dcterms:created>
  <dcterms:modified xsi:type="dcterms:W3CDTF">2026-09-19T13:40:00Z</dcterms:modified>
</cp:coreProperties>
</file>