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498BF8" w14:textId="3D57B5E8" w:rsidR="00FF1C2E" w:rsidRDefault="00FF1C2E" w:rsidP="00FF1C2E">
      <w:pPr>
        <w:pStyle w:val="NormalWeb"/>
        <w:pBdr>
          <w:bottom w:val="single" w:sz="4" w:space="1" w:color="auto"/>
        </w:pBdr>
        <w:spacing w:before="0" w:beforeAutospacing="0" w:after="0" w:afterAutospacing="0"/>
        <w:jc w:val="center"/>
        <w:rPr>
          <w:rFonts w:ascii="Arial" w:hAnsi="Arial" w:cs="Arial"/>
          <w:color w:val="000000"/>
          <w:sz w:val="22"/>
          <w:szCs w:val="22"/>
        </w:rPr>
      </w:pPr>
      <w:r>
        <w:rPr>
          <w:rFonts w:ascii="Arial" w:hAnsi="Arial" w:cs="Arial"/>
          <w:color w:val="000000"/>
          <w:sz w:val="22"/>
          <w:szCs w:val="22"/>
        </w:rPr>
        <w:t xml:space="preserve">Selection of </w:t>
      </w:r>
      <w:r>
        <w:rPr>
          <w:rFonts w:ascii="Arial" w:hAnsi="Arial" w:cs="Arial"/>
          <w:color w:val="000000"/>
          <w:sz w:val="22"/>
          <w:szCs w:val="22"/>
        </w:rPr>
        <w:t xml:space="preserve">Online </w:t>
      </w:r>
      <w:r>
        <w:rPr>
          <w:rFonts w:ascii="Arial" w:hAnsi="Arial" w:cs="Arial"/>
          <w:color w:val="000000"/>
          <w:sz w:val="22"/>
          <w:szCs w:val="22"/>
        </w:rPr>
        <w:t>Academic Journals</w:t>
      </w:r>
    </w:p>
    <w:p w14:paraId="051248C1" w14:textId="0C1E9361" w:rsidR="00FF1C2E" w:rsidRDefault="00FF1C2E" w:rsidP="00FF1C2E">
      <w:pPr>
        <w:pStyle w:val="NormalWeb"/>
        <w:spacing w:before="0" w:beforeAutospacing="0" w:after="0" w:afterAutospacing="0"/>
        <w:jc w:val="center"/>
      </w:pPr>
      <w:r>
        <w:rPr>
          <w:rFonts w:ascii="Arial" w:hAnsi="Arial" w:cs="Arial"/>
          <w:color w:val="000000"/>
          <w:sz w:val="22"/>
          <w:szCs w:val="22"/>
        </w:rPr>
        <w:t>(Healthcare &amp; Technology)</w:t>
      </w:r>
    </w:p>
    <w:p w14:paraId="54047CD9" w14:textId="77777777" w:rsidR="00FF1C2E" w:rsidRDefault="00FF1C2E" w:rsidP="00FF1C2E"/>
    <w:p w14:paraId="4B366CB2" w14:textId="77777777" w:rsidR="00FF1C2E" w:rsidRDefault="00FF1C2E" w:rsidP="00FF1C2E">
      <w:pPr>
        <w:pStyle w:val="NormalWeb"/>
        <w:spacing w:before="0" w:beforeAutospacing="0" w:after="160" w:afterAutospacing="0"/>
      </w:pPr>
      <w:r>
        <w:rPr>
          <w:rFonts w:ascii="Arial" w:hAnsi="Arial" w:cs="Arial"/>
          <w:b/>
          <w:bCs/>
          <w:color w:val="000000"/>
          <w:sz w:val="22"/>
          <w:szCs w:val="22"/>
          <w:u w:val="single"/>
          <w:shd w:val="clear" w:color="auto" w:fill="FFFF00"/>
        </w:rPr>
        <w:t>Week 4 Journal Articles</w:t>
      </w:r>
    </w:p>
    <w:p w14:paraId="01F4B6AB" w14:textId="77777777" w:rsidR="00FF1C2E" w:rsidRDefault="00FF1C2E" w:rsidP="00FF1C2E">
      <w:pPr>
        <w:pStyle w:val="NormalWeb"/>
        <w:spacing w:before="0" w:beforeAutospacing="0" w:after="160" w:afterAutospacing="0"/>
      </w:pPr>
      <w:r>
        <w:rPr>
          <w:rFonts w:ascii="Arial" w:hAnsi="Arial" w:cs="Arial"/>
          <w:b/>
          <w:bCs/>
          <w:color w:val="000000"/>
          <w:sz w:val="22"/>
          <w:szCs w:val="22"/>
        </w:rPr>
        <w:t>Article #1</w:t>
      </w:r>
    </w:p>
    <w:p w14:paraId="241074F8" w14:textId="77777777" w:rsidR="00FF1C2E" w:rsidRDefault="00FF1C2E" w:rsidP="00FF1C2E">
      <w:pPr>
        <w:pStyle w:val="NormalWeb"/>
        <w:spacing w:before="0" w:beforeAutospacing="0" w:after="160" w:afterAutospacing="0"/>
      </w:pPr>
      <w:r>
        <w:rPr>
          <w:rFonts w:ascii="Arial" w:hAnsi="Arial" w:cs="Arial"/>
          <w:b/>
          <w:bCs/>
          <w:color w:val="000000"/>
          <w:sz w:val="22"/>
          <w:szCs w:val="22"/>
        </w:rPr>
        <w:t>Website</w:t>
      </w:r>
      <w:r>
        <w:rPr>
          <w:rFonts w:ascii="Arial" w:hAnsi="Arial" w:cs="Arial"/>
          <w:color w:val="000000"/>
          <w:sz w:val="22"/>
          <w:szCs w:val="22"/>
        </w:rPr>
        <w:t>: Clinical Key</w:t>
      </w:r>
    </w:p>
    <w:p w14:paraId="26642670" w14:textId="77777777" w:rsidR="00FF1C2E" w:rsidRDefault="00FF1C2E" w:rsidP="00FF1C2E">
      <w:pPr>
        <w:pStyle w:val="NormalWeb"/>
        <w:spacing w:before="0" w:beforeAutospacing="0" w:after="160" w:afterAutospacing="0"/>
      </w:pPr>
      <w:r>
        <w:rPr>
          <w:rFonts w:ascii="Arial" w:hAnsi="Arial" w:cs="Arial"/>
          <w:b/>
          <w:bCs/>
          <w:color w:val="000000"/>
          <w:sz w:val="22"/>
          <w:szCs w:val="22"/>
        </w:rPr>
        <w:t>Login</w:t>
      </w:r>
      <w:r>
        <w:rPr>
          <w:rFonts w:ascii="Arial" w:hAnsi="Arial" w:cs="Arial"/>
          <w:color w:val="000000"/>
          <w:sz w:val="22"/>
          <w:szCs w:val="22"/>
        </w:rPr>
        <w:t>: Personal Account</w:t>
      </w:r>
    </w:p>
    <w:p w14:paraId="6B236715" w14:textId="77777777" w:rsidR="00FF1C2E" w:rsidRDefault="00FF1C2E" w:rsidP="00FF1C2E">
      <w:pPr>
        <w:pStyle w:val="NormalWeb"/>
        <w:spacing w:before="0" w:beforeAutospacing="0" w:after="160" w:afterAutospacing="0"/>
      </w:pPr>
      <w:r>
        <w:rPr>
          <w:rFonts w:ascii="Arial" w:hAnsi="Arial" w:cs="Arial"/>
          <w:b/>
          <w:bCs/>
          <w:color w:val="000000"/>
          <w:sz w:val="22"/>
          <w:szCs w:val="22"/>
        </w:rPr>
        <w:t>Article Name</w:t>
      </w:r>
      <w:r>
        <w:rPr>
          <w:rFonts w:ascii="Arial" w:hAnsi="Arial" w:cs="Arial"/>
          <w:color w:val="000000"/>
          <w:sz w:val="22"/>
          <w:szCs w:val="22"/>
        </w:rPr>
        <w:t>: Healthcare technology management competency and its impacts on IT–healthcare partnerships development</w:t>
      </w:r>
    </w:p>
    <w:p w14:paraId="48368D02" w14:textId="77777777" w:rsidR="00FF1C2E" w:rsidRDefault="00FF1C2E" w:rsidP="00FF1C2E">
      <w:pPr>
        <w:pStyle w:val="NormalWeb"/>
        <w:shd w:val="clear" w:color="auto" w:fill="FFFFFF"/>
        <w:spacing w:before="0" w:beforeAutospacing="0" w:after="0" w:afterAutospacing="0"/>
      </w:pPr>
      <w:r>
        <w:rPr>
          <w:b/>
          <w:bCs/>
          <w:color w:val="494949"/>
          <w:sz w:val="21"/>
          <w:szCs w:val="21"/>
        </w:rPr>
        <w:t>Source</w:t>
      </w:r>
      <w:r>
        <w:rPr>
          <w:color w:val="494949"/>
          <w:sz w:val="21"/>
          <w:szCs w:val="21"/>
        </w:rPr>
        <w:t xml:space="preserve">: Jen-Her Wu; </w:t>
      </w:r>
      <w:r>
        <w:rPr>
          <w:rFonts w:ascii="Arial" w:hAnsi="Arial" w:cs="Arial"/>
          <w:color w:val="000000"/>
          <w:sz w:val="22"/>
          <w:szCs w:val="22"/>
        </w:rPr>
        <w:t>Yi-Cheng Chen; Robert A. Greenes</w:t>
      </w:r>
    </w:p>
    <w:p w14:paraId="6FCC73A5" w14:textId="77777777" w:rsidR="00FF1C2E" w:rsidRDefault="00FF1C2E" w:rsidP="00FF1C2E">
      <w:pPr>
        <w:pStyle w:val="NormalWeb"/>
        <w:shd w:val="clear" w:color="auto" w:fill="FFFFFF"/>
        <w:spacing w:before="0" w:beforeAutospacing="0" w:after="0" w:afterAutospacing="0"/>
      </w:pPr>
      <w:r>
        <w:rPr>
          <w:rFonts w:ascii="Arial" w:hAnsi="Arial" w:cs="Arial"/>
          <w:color w:val="494949"/>
          <w:sz w:val="18"/>
          <w:szCs w:val="18"/>
        </w:rPr>
        <w:t>International Journal of Medical Informatics, February 01, 2009, Volume 78, Issue 2, Pages 71-82, Copyright © 2008 Elsevier Ireland Ltd</w:t>
      </w:r>
    </w:p>
    <w:p w14:paraId="117D6CB1" w14:textId="77777777" w:rsidR="00FF1C2E" w:rsidRDefault="00FF1C2E" w:rsidP="00FF1C2E">
      <w:pPr>
        <w:pStyle w:val="NormalWeb"/>
        <w:spacing w:before="0" w:beforeAutospacing="0" w:after="160" w:afterAutospacing="0"/>
      </w:pPr>
      <w:r>
        <w:rPr>
          <w:rFonts w:ascii="Arial" w:hAnsi="Arial" w:cs="Arial"/>
          <w:b/>
          <w:bCs/>
          <w:color w:val="000000"/>
          <w:sz w:val="22"/>
          <w:szCs w:val="22"/>
        </w:rPr>
        <w:t>Journal URL</w:t>
      </w:r>
      <w:r>
        <w:rPr>
          <w:rFonts w:ascii="Arial" w:hAnsi="Arial" w:cs="Arial"/>
          <w:color w:val="000000"/>
          <w:sz w:val="22"/>
          <w:szCs w:val="22"/>
        </w:rPr>
        <w:t>:</w:t>
      </w:r>
      <w:hyperlink r:id="rId6" w:anchor="!/content/1-s2.0-S1386505608000828" w:history="1">
        <w:r>
          <w:rPr>
            <w:rStyle w:val="Hyperlink"/>
            <w:rFonts w:ascii="Arial" w:hAnsi="Arial" w:cs="Arial"/>
            <w:color w:val="000000"/>
            <w:sz w:val="22"/>
            <w:szCs w:val="22"/>
            <w:u w:val="none"/>
          </w:rPr>
          <w:t xml:space="preserve"> </w:t>
        </w:r>
        <w:r>
          <w:rPr>
            <w:rStyle w:val="Hyperlink"/>
            <w:rFonts w:ascii="Arial" w:hAnsi="Arial" w:cs="Arial"/>
            <w:color w:val="1155CC"/>
            <w:sz w:val="22"/>
            <w:szCs w:val="22"/>
          </w:rPr>
          <w:t>https://www.clinicalkey.com/#!/content/1-s2.0-S1386505608000828</w:t>
        </w:r>
      </w:hyperlink>
    </w:p>
    <w:p w14:paraId="13BF7D92" w14:textId="77777777" w:rsidR="00FF1C2E" w:rsidRDefault="00FF1C2E" w:rsidP="00FF1C2E">
      <w:pPr>
        <w:pStyle w:val="NormalWeb"/>
        <w:spacing w:before="0" w:beforeAutospacing="0" w:after="160" w:afterAutospacing="0"/>
      </w:pPr>
      <w:r>
        <w:rPr>
          <w:rFonts w:ascii="Arial" w:hAnsi="Arial" w:cs="Arial"/>
          <w:b/>
          <w:bCs/>
          <w:color w:val="000000"/>
          <w:sz w:val="22"/>
          <w:szCs w:val="22"/>
        </w:rPr>
        <w:t>Synopsis</w:t>
      </w:r>
      <w:r>
        <w:rPr>
          <w:rFonts w:ascii="Arial" w:hAnsi="Arial" w:cs="Arial"/>
          <w:color w:val="000000"/>
          <w:sz w:val="22"/>
          <w:szCs w:val="22"/>
        </w:rPr>
        <w:t>:</w:t>
      </w:r>
    </w:p>
    <w:p w14:paraId="34411784" w14:textId="77777777" w:rsidR="00FF1C2E" w:rsidRDefault="00FF1C2E" w:rsidP="00FF1C2E">
      <w:pPr>
        <w:pStyle w:val="NormalWeb"/>
        <w:spacing w:before="0" w:beforeAutospacing="0" w:after="160" w:afterAutospacing="0"/>
      </w:pPr>
      <w:r>
        <w:rPr>
          <w:rFonts w:ascii="Arial" w:hAnsi="Arial" w:cs="Arial"/>
          <w:color w:val="000000"/>
          <w:sz w:val="22"/>
          <w:szCs w:val="22"/>
        </w:rPr>
        <w:t>Article Summary</w:t>
      </w:r>
    </w:p>
    <w:p w14:paraId="402FF5C0" w14:textId="77777777" w:rsidR="00FF1C2E" w:rsidRDefault="00FF1C2E" w:rsidP="00FF1C2E">
      <w:pPr>
        <w:pStyle w:val="NormalWeb"/>
        <w:spacing w:before="0" w:beforeAutospacing="0" w:after="160" w:afterAutospacing="0"/>
      </w:pPr>
      <w:r>
        <w:rPr>
          <w:rFonts w:ascii="Arial" w:hAnsi="Arial" w:cs="Arial"/>
          <w:color w:val="000000"/>
          <w:sz w:val="22"/>
          <w:szCs w:val="22"/>
        </w:rPr>
        <w:t xml:space="preserve">This study investigates </w:t>
      </w:r>
      <w:r>
        <w:rPr>
          <w:rFonts w:ascii="Arial" w:hAnsi="Arial" w:cs="Arial"/>
          <w:b/>
          <w:bCs/>
          <w:color w:val="000000"/>
          <w:sz w:val="22"/>
          <w:szCs w:val="22"/>
        </w:rPr>
        <w:t>Healthcare Technology Management (HTM) competency</w:t>
      </w:r>
      <w:r>
        <w:rPr>
          <w:rFonts w:ascii="Arial" w:hAnsi="Arial" w:cs="Arial"/>
          <w:color w:val="000000"/>
          <w:sz w:val="22"/>
          <w:szCs w:val="22"/>
        </w:rPr>
        <w:t xml:space="preserve"> required by IS professionals in healthcare organizations and its impact on IT–healthcare partnership development.</w:t>
      </w:r>
    </w:p>
    <w:p w14:paraId="0AF39594" w14:textId="77777777" w:rsidR="00FF1C2E" w:rsidRDefault="00FF1C2E" w:rsidP="00FF1C2E">
      <w:pPr>
        <w:pStyle w:val="NormalWeb"/>
        <w:spacing w:before="0" w:beforeAutospacing="0" w:after="160" w:afterAutospacing="0"/>
      </w:pPr>
      <w:r>
        <w:rPr>
          <w:rFonts w:ascii="Arial" w:hAnsi="Arial" w:cs="Arial"/>
          <w:b/>
          <w:bCs/>
          <w:color w:val="000000"/>
          <w:sz w:val="22"/>
          <w:szCs w:val="22"/>
        </w:rPr>
        <w:t>Key Components of HTM Competency:</w:t>
      </w:r>
    </w:p>
    <w:p w14:paraId="3DBE058A" w14:textId="77777777" w:rsidR="00FF1C2E" w:rsidRDefault="00FF1C2E" w:rsidP="00FF1C2E">
      <w:pPr>
        <w:pStyle w:val="NormalWeb"/>
        <w:numPr>
          <w:ilvl w:val="0"/>
          <w:numId w:val="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Healthcare Organization Overview (HOO)</w:t>
      </w:r>
    </w:p>
    <w:p w14:paraId="3DE75081" w14:textId="77777777" w:rsidR="00FF1C2E" w:rsidRDefault="00FF1C2E" w:rsidP="00FF1C2E">
      <w:pPr>
        <w:pStyle w:val="NormalWeb"/>
        <w:numPr>
          <w:ilvl w:val="0"/>
          <w:numId w:val="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External Knowledge Networking (EKN)</w:t>
      </w:r>
    </w:p>
    <w:p w14:paraId="6E0848BD" w14:textId="77777777" w:rsidR="00FF1C2E" w:rsidRDefault="00FF1C2E" w:rsidP="00FF1C2E">
      <w:pPr>
        <w:pStyle w:val="NormalWeb"/>
        <w:numPr>
          <w:ilvl w:val="0"/>
          <w:numId w:val="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Management &amp; Interpersonal Skills (M&amp;I)</w:t>
      </w:r>
    </w:p>
    <w:p w14:paraId="4EDB7FBB" w14:textId="77777777" w:rsidR="00FF1C2E" w:rsidRDefault="00FF1C2E" w:rsidP="00FF1C2E">
      <w:pPr>
        <w:pStyle w:val="NormalWeb"/>
        <w:numPr>
          <w:ilvl w:val="0"/>
          <w:numId w:val="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Healthcare Technology Integration (HTI)</w:t>
      </w:r>
    </w:p>
    <w:p w14:paraId="55C0198D" w14:textId="77777777" w:rsidR="00FF1C2E" w:rsidRDefault="00FF1C2E" w:rsidP="00FF1C2E">
      <w:pPr>
        <w:pStyle w:val="NormalWeb"/>
        <w:spacing w:before="0" w:beforeAutospacing="0" w:after="160" w:afterAutospacing="0"/>
      </w:pPr>
      <w:hyperlink r:id="rId7" w:anchor="!/content/book/1-s2.0-S1386505608000828#hl0000527" w:history="1">
        <w:r>
          <w:rPr>
            <w:rStyle w:val="Hyperlink"/>
            <w:rFonts w:ascii="Arial" w:hAnsi="Arial" w:cs="Arial"/>
            <w:color w:val="1155CC"/>
            <w:sz w:val="22"/>
            <w:szCs w:val="22"/>
          </w:rPr>
          <w:t>[1]</w:t>
        </w:r>
      </w:hyperlink>
    </w:p>
    <w:p w14:paraId="45A11049" w14:textId="77777777" w:rsidR="00FF1C2E" w:rsidRDefault="00FF1C2E" w:rsidP="00FF1C2E">
      <w:pPr>
        <w:pStyle w:val="NormalWeb"/>
        <w:spacing w:before="0" w:beforeAutospacing="0" w:after="160" w:afterAutospacing="0"/>
      </w:pPr>
      <w:r>
        <w:rPr>
          <w:rFonts w:ascii="Arial" w:hAnsi="Arial" w:cs="Arial"/>
          <w:b/>
          <w:bCs/>
          <w:color w:val="000000"/>
          <w:sz w:val="22"/>
          <w:szCs w:val="22"/>
        </w:rPr>
        <w:t>Methods:</w:t>
      </w:r>
      <w:r>
        <w:rPr>
          <w:rFonts w:ascii="Arial" w:hAnsi="Arial" w:cs="Arial"/>
          <w:color w:val="000000"/>
          <w:sz w:val="22"/>
          <w:szCs w:val="22"/>
        </w:rPr>
        <w:t xml:space="preserve"> A validated survey instrument was administered to 159 IS professionals across Taiwanese hospitals, analyzed using </w:t>
      </w:r>
      <w:r>
        <w:rPr>
          <w:rFonts w:ascii="Arial" w:hAnsi="Arial" w:cs="Arial"/>
          <w:b/>
          <w:bCs/>
          <w:color w:val="000000"/>
          <w:sz w:val="22"/>
          <w:szCs w:val="22"/>
        </w:rPr>
        <w:t>Partial Least Squares (PLS)</w:t>
      </w:r>
      <w:r>
        <w:rPr>
          <w:rFonts w:ascii="Arial" w:hAnsi="Arial" w:cs="Arial"/>
          <w:color w:val="000000"/>
          <w:sz w:val="22"/>
          <w:szCs w:val="22"/>
        </w:rPr>
        <w:t xml:space="preserve"> method. </w:t>
      </w:r>
      <w:hyperlink r:id="rId8" w:anchor="!/content/book/1-s2.0-S1386505608000828#hl0000524" w:history="1">
        <w:r>
          <w:rPr>
            <w:rStyle w:val="Hyperlink"/>
            <w:rFonts w:ascii="Arial" w:hAnsi="Arial" w:cs="Arial"/>
            <w:color w:val="1155CC"/>
            <w:sz w:val="22"/>
            <w:szCs w:val="22"/>
          </w:rPr>
          <w:t>[2]</w:t>
        </w:r>
      </w:hyperlink>
    </w:p>
    <w:p w14:paraId="4EFAA719" w14:textId="77777777" w:rsidR="00FF1C2E" w:rsidRDefault="00FF1C2E" w:rsidP="00FF1C2E">
      <w:pPr>
        <w:pStyle w:val="NormalWeb"/>
        <w:spacing w:before="0" w:beforeAutospacing="0" w:after="160" w:afterAutospacing="0"/>
      </w:pPr>
      <w:r>
        <w:rPr>
          <w:rFonts w:ascii="Arial" w:hAnsi="Arial" w:cs="Arial"/>
          <w:b/>
          <w:bCs/>
          <w:color w:val="000000"/>
          <w:sz w:val="22"/>
          <w:szCs w:val="22"/>
        </w:rPr>
        <w:t>Key Findings:</w:t>
      </w:r>
    </w:p>
    <w:p w14:paraId="00E9371D" w14:textId="77777777" w:rsidR="00FF1C2E" w:rsidRDefault="00FF1C2E" w:rsidP="00FF1C2E">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EKN, M&amp;I, and HTI directly influence attitudes to develop partnerships</w:t>
      </w:r>
    </w:p>
    <w:p w14:paraId="0DF3FC86" w14:textId="77777777" w:rsidR="00FF1C2E" w:rsidRDefault="00FF1C2E" w:rsidP="00FF1C2E">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HOO influences partnerships </w:t>
      </w:r>
      <w:r>
        <w:rPr>
          <w:rFonts w:ascii="Arial" w:hAnsi="Arial" w:cs="Arial"/>
          <w:b/>
          <w:bCs/>
          <w:color w:val="000000"/>
          <w:sz w:val="22"/>
          <w:szCs w:val="22"/>
        </w:rPr>
        <w:t>indirectly</w:t>
      </w:r>
      <w:r>
        <w:rPr>
          <w:rFonts w:ascii="Arial" w:hAnsi="Arial" w:cs="Arial"/>
          <w:color w:val="000000"/>
          <w:sz w:val="22"/>
          <w:szCs w:val="22"/>
        </w:rPr>
        <w:t xml:space="preserve"> through HTI</w:t>
      </w:r>
    </w:p>
    <w:p w14:paraId="642B61DE" w14:textId="77777777" w:rsidR="00FF1C2E" w:rsidRDefault="00FF1C2E" w:rsidP="00FF1C2E">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HTM constructs explain </w:t>
      </w:r>
      <w:r>
        <w:rPr>
          <w:rFonts w:ascii="Arial" w:hAnsi="Arial" w:cs="Arial"/>
          <w:b/>
          <w:bCs/>
          <w:color w:val="000000"/>
          <w:sz w:val="22"/>
          <w:szCs w:val="22"/>
        </w:rPr>
        <w:t>47% of variance</w:t>
      </w:r>
      <w:r>
        <w:rPr>
          <w:rFonts w:ascii="Arial" w:hAnsi="Arial" w:cs="Arial"/>
          <w:color w:val="000000"/>
          <w:sz w:val="22"/>
          <w:szCs w:val="22"/>
        </w:rPr>
        <w:t xml:space="preserve"> in partnership attitudes</w:t>
      </w:r>
    </w:p>
    <w:p w14:paraId="6F566809" w14:textId="77777777" w:rsidR="00FF1C2E" w:rsidRDefault="00FF1C2E" w:rsidP="00FF1C2E">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HOO, EKN, and M&amp;I together explain </w:t>
      </w:r>
      <w:r>
        <w:rPr>
          <w:rFonts w:ascii="Arial" w:hAnsi="Arial" w:cs="Arial"/>
          <w:b/>
          <w:bCs/>
          <w:color w:val="000000"/>
          <w:sz w:val="22"/>
          <w:szCs w:val="22"/>
        </w:rPr>
        <w:t>70% of variance</w:t>
      </w:r>
      <w:r>
        <w:rPr>
          <w:rFonts w:ascii="Arial" w:hAnsi="Arial" w:cs="Arial"/>
          <w:color w:val="000000"/>
          <w:sz w:val="22"/>
          <w:szCs w:val="22"/>
        </w:rPr>
        <w:t xml:space="preserve"> in HTI</w:t>
      </w:r>
    </w:p>
    <w:p w14:paraId="60E21675" w14:textId="77777777" w:rsidR="00FF1C2E" w:rsidRDefault="00FF1C2E" w:rsidP="00FF1C2E">
      <w:pPr>
        <w:pStyle w:val="NormalWeb"/>
        <w:spacing w:before="0" w:beforeAutospacing="0" w:after="160" w:afterAutospacing="0"/>
      </w:pPr>
      <w:hyperlink r:id="rId9" w:anchor="!/content/book/1-s2.0-S1386505608000828#hl0000727" w:history="1">
        <w:r>
          <w:rPr>
            <w:rStyle w:val="Hyperlink"/>
            <w:rFonts w:ascii="Arial" w:hAnsi="Arial" w:cs="Arial"/>
            <w:color w:val="1155CC"/>
            <w:sz w:val="22"/>
            <w:szCs w:val="22"/>
          </w:rPr>
          <w:t>[3]</w:t>
        </w:r>
      </w:hyperlink>
      <w:hyperlink r:id="rId10" w:anchor="!/content/book/1-s2.0-S1386505608000828#hl0000776" w:history="1">
        <w:r>
          <w:rPr>
            <w:rStyle w:val="Hyperlink"/>
            <w:rFonts w:ascii="Arial" w:hAnsi="Arial" w:cs="Arial"/>
            <w:color w:val="1155CC"/>
            <w:sz w:val="22"/>
            <w:szCs w:val="22"/>
          </w:rPr>
          <w:t>[4]</w:t>
        </w:r>
      </w:hyperlink>
    </w:p>
    <w:p w14:paraId="5C8463A3" w14:textId="77777777" w:rsidR="00FF1C2E" w:rsidRDefault="00FF1C2E" w:rsidP="00FF1C2E">
      <w:pPr>
        <w:pStyle w:val="NormalWeb"/>
        <w:spacing w:before="0" w:beforeAutospacing="0" w:after="160" w:afterAutospacing="0"/>
      </w:pPr>
      <w:r>
        <w:rPr>
          <w:rFonts w:ascii="Arial" w:hAnsi="Arial" w:cs="Arial"/>
          <w:b/>
          <w:bCs/>
          <w:color w:val="000000"/>
          <w:sz w:val="22"/>
          <w:szCs w:val="22"/>
        </w:rPr>
        <w:t>Conclusion:</w:t>
      </w:r>
      <w:r>
        <w:rPr>
          <w:rFonts w:ascii="Arial" w:hAnsi="Arial" w:cs="Arial"/>
          <w:color w:val="000000"/>
          <w:sz w:val="22"/>
          <w:szCs w:val="22"/>
        </w:rPr>
        <w:t xml:space="preserve"> HTM competency profiles can guide IS professional training and succession planning in healthcare organizations. </w:t>
      </w:r>
      <w:hyperlink r:id="rId11" w:anchor="!/content/book/1-s2.0-S1386505608000828#hl0000789" w:history="1">
        <w:r>
          <w:rPr>
            <w:rStyle w:val="Hyperlink"/>
            <w:rFonts w:ascii="Arial" w:hAnsi="Arial" w:cs="Arial"/>
            <w:color w:val="1155CC"/>
            <w:sz w:val="22"/>
            <w:szCs w:val="22"/>
          </w:rPr>
          <w:t>[5]</w:t>
        </w:r>
      </w:hyperlink>
    </w:p>
    <w:p w14:paraId="5DEF5BF3" w14:textId="77777777" w:rsidR="00FF1C2E" w:rsidRDefault="00FF1C2E" w:rsidP="00FF1C2E">
      <w:pPr>
        <w:pStyle w:val="NormalWeb"/>
        <w:spacing w:before="0" w:beforeAutospacing="0" w:after="160" w:afterAutospacing="0"/>
      </w:pPr>
      <w:r>
        <w:rPr>
          <w:rFonts w:ascii="Arial" w:hAnsi="Arial" w:cs="Arial"/>
          <w:color w:val="000000"/>
          <w:sz w:val="22"/>
          <w:szCs w:val="22"/>
        </w:rPr>
        <w:t> </w:t>
      </w:r>
    </w:p>
    <w:p w14:paraId="42A75D28" w14:textId="77777777" w:rsidR="00FF1C2E" w:rsidRDefault="00FF1C2E" w:rsidP="00FF1C2E">
      <w:pPr>
        <w:pStyle w:val="NormalWeb"/>
        <w:spacing w:before="0" w:beforeAutospacing="0" w:after="160" w:afterAutospacing="0"/>
      </w:pPr>
      <w:r>
        <w:rPr>
          <w:rFonts w:ascii="Arial" w:hAnsi="Arial" w:cs="Arial"/>
          <w:color w:val="000000"/>
          <w:sz w:val="22"/>
          <w:szCs w:val="22"/>
        </w:rPr>
        <w:t>Key Findings and Conclusions</w:t>
      </w:r>
    </w:p>
    <w:p w14:paraId="29ADA63E" w14:textId="77777777" w:rsidR="00FF1C2E" w:rsidRDefault="00FF1C2E" w:rsidP="00FF1C2E">
      <w:pPr>
        <w:pStyle w:val="NormalWeb"/>
        <w:spacing w:before="0" w:beforeAutospacing="0" w:after="160" w:afterAutospacing="0"/>
      </w:pPr>
      <w:r>
        <w:rPr>
          <w:rFonts w:ascii="Arial" w:hAnsi="Arial" w:cs="Arial"/>
          <w:b/>
          <w:bCs/>
          <w:color w:val="000000"/>
          <w:sz w:val="22"/>
          <w:szCs w:val="22"/>
        </w:rPr>
        <w:t>Structural Validation:</w:t>
      </w:r>
    </w:p>
    <w:p w14:paraId="05CF62C8" w14:textId="77777777" w:rsidR="00FF1C2E" w:rsidRDefault="00FF1C2E" w:rsidP="00FF1C2E">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The four skills/knowledge domains of Healthcare Technology Management competency were validated: </w:t>
      </w:r>
      <w:r>
        <w:rPr>
          <w:rFonts w:ascii="Arial" w:hAnsi="Arial" w:cs="Arial"/>
          <w:b/>
          <w:bCs/>
          <w:color w:val="000000"/>
          <w:sz w:val="22"/>
          <w:szCs w:val="22"/>
        </w:rPr>
        <w:t>Healthcare Organization Overview</w:t>
      </w:r>
      <w:r>
        <w:rPr>
          <w:rFonts w:ascii="Arial" w:hAnsi="Arial" w:cs="Arial"/>
          <w:color w:val="000000"/>
          <w:sz w:val="22"/>
          <w:szCs w:val="22"/>
        </w:rPr>
        <w:t xml:space="preserve">, </w:t>
      </w:r>
      <w:r>
        <w:rPr>
          <w:rFonts w:ascii="Arial" w:hAnsi="Arial" w:cs="Arial"/>
          <w:b/>
          <w:bCs/>
          <w:color w:val="000000"/>
          <w:sz w:val="22"/>
          <w:szCs w:val="22"/>
        </w:rPr>
        <w:t xml:space="preserve">External Knowledge </w:t>
      </w:r>
      <w:r>
        <w:rPr>
          <w:rFonts w:ascii="Arial" w:hAnsi="Arial" w:cs="Arial"/>
          <w:b/>
          <w:bCs/>
          <w:color w:val="000000"/>
          <w:sz w:val="22"/>
          <w:szCs w:val="22"/>
        </w:rPr>
        <w:lastRenderedPageBreak/>
        <w:t>Networking</w:t>
      </w:r>
      <w:r>
        <w:rPr>
          <w:rFonts w:ascii="Arial" w:hAnsi="Arial" w:cs="Arial"/>
          <w:color w:val="000000"/>
          <w:sz w:val="22"/>
          <w:szCs w:val="22"/>
        </w:rPr>
        <w:t xml:space="preserve">, </w:t>
      </w:r>
      <w:r>
        <w:rPr>
          <w:rFonts w:ascii="Arial" w:hAnsi="Arial" w:cs="Arial"/>
          <w:b/>
          <w:bCs/>
          <w:color w:val="000000"/>
          <w:sz w:val="22"/>
          <w:szCs w:val="22"/>
        </w:rPr>
        <w:t>Healthcare Technology Integration</w:t>
      </w:r>
      <w:r>
        <w:rPr>
          <w:rFonts w:ascii="Arial" w:hAnsi="Arial" w:cs="Arial"/>
          <w:color w:val="000000"/>
          <w:sz w:val="22"/>
          <w:szCs w:val="22"/>
        </w:rPr>
        <w:t xml:space="preserve">, and </w:t>
      </w:r>
      <w:r>
        <w:rPr>
          <w:rFonts w:ascii="Arial" w:hAnsi="Arial" w:cs="Arial"/>
          <w:b/>
          <w:bCs/>
          <w:color w:val="000000"/>
          <w:sz w:val="22"/>
          <w:szCs w:val="22"/>
        </w:rPr>
        <w:t>Management and Interpersonal</w:t>
      </w:r>
      <w:r>
        <w:rPr>
          <w:rFonts w:ascii="Arial" w:hAnsi="Arial" w:cs="Arial"/>
          <w:color w:val="000000"/>
          <w:sz w:val="22"/>
          <w:szCs w:val="22"/>
        </w:rPr>
        <w:t xml:space="preserve"> skills. </w:t>
      </w:r>
      <w:hyperlink r:id="rId12" w:anchor="!/content/book/1-s2.0-S1386505608000828#hl0000771" w:history="1">
        <w:r>
          <w:rPr>
            <w:rStyle w:val="Hyperlink"/>
            <w:rFonts w:ascii="Arial" w:hAnsi="Arial" w:cs="Arial"/>
            <w:color w:val="1155CC"/>
            <w:sz w:val="22"/>
            <w:szCs w:val="22"/>
          </w:rPr>
          <w:t>[1]</w:t>
        </w:r>
      </w:hyperlink>
    </w:p>
    <w:p w14:paraId="000D465C" w14:textId="77777777" w:rsidR="00FF1C2E" w:rsidRDefault="00FF1C2E" w:rsidP="00FF1C2E">
      <w:pPr>
        <w:pStyle w:val="NormalWeb"/>
        <w:spacing w:before="0" w:beforeAutospacing="0" w:after="160" w:afterAutospacing="0"/>
      </w:pPr>
      <w:r>
        <w:rPr>
          <w:rFonts w:ascii="Arial" w:hAnsi="Arial" w:cs="Arial"/>
          <w:b/>
          <w:bCs/>
          <w:color w:val="000000"/>
          <w:sz w:val="22"/>
          <w:szCs w:val="22"/>
        </w:rPr>
        <w:t>Direct Influences on Attitudes to Develop Partnerships:</w:t>
      </w:r>
    </w:p>
    <w:p w14:paraId="1850F7A3" w14:textId="77777777" w:rsidR="00FF1C2E" w:rsidRDefault="00FF1C2E" w:rsidP="00FF1C2E">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External Knowledge Networking</w:t>
      </w:r>
      <w:r>
        <w:rPr>
          <w:rFonts w:ascii="Arial" w:hAnsi="Arial" w:cs="Arial"/>
          <w:color w:val="000000"/>
          <w:sz w:val="22"/>
          <w:szCs w:val="22"/>
        </w:rPr>
        <w:t xml:space="preserve">, </w:t>
      </w:r>
      <w:r>
        <w:rPr>
          <w:rFonts w:ascii="Arial" w:hAnsi="Arial" w:cs="Arial"/>
          <w:b/>
          <w:bCs/>
          <w:color w:val="000000"/>
          <w:sz w:val="22"/>
          <w:szCs w:val="22"/>
        </w:rPr>
        <w:t>Healthcare Technology Integration</w:t>
      </w:r>
      <w:r>
        <w:rPr>
          <w:rFonts w:ascii="Arial" w:hAnsi="Arial" w:cs="Arial"/>
          <w:color w:val="000000"/>
          <w:sz w:val="22"/>
          <w:szCs w:val="22"/>
        </w:rPr>
        <w:t xml:space="preserve">, and </w:t>
      </w:r>
      <w:r>
        <w:rPr>
          <w:rFonts w:ascii="Arial" w:hAnsi="Arial" w:cs="Arial"/>
          <w:b/>
          <w:bCs/>
          <w:color w:val="000000"/>
          <w:sz w:val="22"/>
          <w:szCs w:val="22"/>
        </w:rPr>
        <w:t>Management and Interpersonal</w:t>
      </w:r>
      <w:r>
        <w:rPr>
          <w:rFonts w:ascii="Arial" w:hAnsi="Arial" w:cs="Arial"/>
          <w:color w:val="000000"/>
          <w:sz w:val="22"/>
          <w:szCs w:val="22"/>
        </w:rPr>
        <w:t xml:space="preserve"> skills directly influence Information Systems professionals' attitudes to develop partnerships. </w:t>
      </w:r>
      <w:hyperlink r:id="rId13" w:anchor="!/content/book/1-s2.0-S1386505608000828#hl0000776" w:history="1">
        <w:r>
          <w:rPr>
            <w:rStyle w:val="Hyperlink"/>
            <w:rFonts w:ascii="Arial" w:hAnsi="Arial" w:cs="Arial"/>
            <w:color w:val="1155CC"/>
            <w:sz w:val="22"/>
            <w:szCs w:val="22"/>
          </w:rPr>
          <w:t>[2]</w:t>
        </w:r>
      </w:hyperlink>
    </w:p>
    <w:p w14:paraId="7538F53D" w14:textId="77777777" w:rsidR="00FF1C2E" w:rsidRDefault="00FF1C2E" w:rsidP="00FF1C2E">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Healthcare Organization Overview</w:t>
      </w:r>
      <w:r>
        <w:rPr>
          <w:rFonts w:ascii="Arial" w:hAnsi="Arial" w:cs="Arial"/>
          <w:color w:val="000000"/>
          <w:sz w:val="22"/>
          <w:szCs w:val="22"/>
        </w:rPr>
        <w:t xml:space="preserve"> has no direct </w:t>
      </w:r>
      <w:proofErr w:type="gramStart"/>
      <w:r>
        <w:rPr>
          <w:rFonts w:ascii="Arial" w:hAnsi="Arial" w:cs="Arial"/>
          <w:color w:val="000000"/>
          <w:sz w:val="22"/>
          <w:szCs w:val="22"/>
        </w:rPr>
        <w:t>effect, but</w:t>
      </w:r>
      <w:proofErr w:type="gramEnd"/>
      <w:r>
        <w:rPr>
          <w:rFonts w:ascii="Arial" w:hAnsi="Arial" w:cs="Arial"/>
          <w:color w:val="000000"/>
          <w:sz w:val="22"/>
          <w:szCs w:val="22"/>
        </w:rPr>
        <w:t xml:space="preserve"> indirectly influences partnerships through </w:t>
      </w:r>
      <w:r>
        <w:rPr>
          <w:rFonts w:ascii="Arial" w:hAnsi="Arial" w:cs="Arial"/>
          <w:b/>
          <w:bCs/>
          <w:color w:val="000000"/>
          <w:sz w:val="22"/>
          <w:szCs w:val="22"/>
        </w:rPr>
        <w:t>Healthcare Technology Integration</w:t>
      </w:r>
      <w:r>
        <w:rPr>
          <w:rFonts w:ascii="Arial" w:hAnsi="Arial" w:cs="Arial"/>
          <w:color w:val="000000"/>
          <w:sz w:val="22"/>
          <w:szCs w:val="22"/>
        </w:rPr>
        <w:t xml:space="preserve">. </w:t>
      </w:r>
      <w:hyperlink r:id="rId14" w:anchor="!/content/book/1-s2.0-S1386505608000828#hl0000776" w:history="1">
        <w:r>
          <w:rPr>
            <w:rStyle w:val="Hyperlink"/>
            <w:rFonts w:ascii="Arial" w:hAnsi="Arial" w:cs="Arial"/>
            <w:color w:val="1155CC"/>
            <w:sz w:val="22"/>
            <w:szCs w:val="22"/>
          </w:rPr>
          <w:t>[2]</w:t>
        </w:r>
      </w:hyperlink>
    </w:p>
    <w:p w14:paraId="25252888" w14:textId="77777777" w:rsidR="00FF1C2E" w:rsidRDefault="00FF1C2E" w:rsidP="00FF1C2E">
      <w:pPr>
        <w:pStyle w:val="NormalWeb"/>
        <w:spacing w:before="0" w:beforeAutospacing="0" w:after="160" w:afterAutospacing="0"/>
      </w:pPr>
      <w:r>
        <w:rPr>
          <w:rFonts w:ascii="Arial" w:hAnsi="Arial" w:cs="Arial"/>
          <w:b/>
          <w:bCs/>
          <w:color w:val="000000"/>
          <w:sz w:val="22"/>
          <w:szCs w:val="22"/>
        </w:rPr>
        <w:t>Antecedents of Healthcare Technology Integration:</w:t>
      </w:r>
    </w:p>
    <w:p w14:paraId="1D90A520" w14:textId="77777777" w:rsidR="00FF1C2E" w:rsidRDefault="00FF1C2E" w:rsidP="00FF1C2E">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Healthcare Organization Overview</w:t>
      </w:r>
      <w:r>
        <w:rPr>
          <w:rFonts w:ascii="Arial" w:hAnsi="Arial" w:cs="Arial"/>
          <w:color w:val="000000"/>
          <w:sz w:val="22"/>
          <w:szCs w:val="22"/>
        </w:rPr>
        <w:t xml:space="preserve"> showed the strongest total contribution to </w:t>
      </w:r>
      <w:r>
        <w:rPr>
          <w:rFonts w:ascii="Arial" w:hAnsi="Arial" w:cs="Arial"/>
          <w:b/>
          <w:bCs/>
          <w:color w:val="000000"/>
          <w:sz w:val="22"/>
          <w:szCs w:val="22"/>
        </w:rPr>
        <w:t>Healthcare Technology Integration</w:t>
      </w:r>
      <w:r>
        <w:rPr>
          <w:rFonts w:ascii="Arial" w:hAnsi="Arial" w:cs="Arial"/>
          <w:color w:val="000000"/>
          <w:sz w:val="22"/>
          <w:szCs w:val="22"/>
        </w:rPr>
        <w:t xml:space="preserve">. </w:t>
      </w:r>
      <w:hyperlink r:id="rId15" w:anchor="!/content/book/1-s2.0-S1386505608000828#hl0000776" w:history="1">
        <w:r>
          <w:rPr>
            <w:rStyle w:val="Hyperlink"/>
            <w:rFonts w:ascii="Arial" w:hAnsi="Arial" w:cs="Arial"/>
            <w:color w:val="1155CC"/>
            <w:sz w:val="22"/>
            <w:szCs w:val="22"/>
          </w:rPr>
          <w:t>[2]</w:t>
        </w:r>
      </w:hyperlink>
    </w:p>
    <w:p w14:paraId="511B8D8C" w14:textId="77777777" w:rsidR="00FF1C2E" w:rsidRDefault="00FF1C2E" w:rsidP="00FF1C2E">
      <w:pPr>
        <w:pStyle w:val="NormalWeb"/>
        <w:spacing w:before="0" w:beforeAutospacing="0" w:after="160" w:afterAutospacing="0"/>
      </w:pPr>
      <w:r>
        <w:rPr>
          <w:rFonts w:ascii="Arial" w:hAnsi="Arial" w:cs="Arial"/>
          <w:b/>
          <w:bCs/>
          <w:color w:val="000000"/>
          <w:sz w:val="22"/>
          <w:szCs w:val="22"/>
        </w:rPr>
        <w:t>Practical Implications:</w:t>
      </w:r>
    </w:p>
    <w:p w14:paraId="2912144B" w14:textId="77777777" w:rsidR="00FF1C2E" w:rsidRDefault="00FF1C2E" w:rsidP="00FF1C2E">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Healthcare organizations can develop </w:t>
      </w:r>
      <w:r>
        <w:rPr>
          <w:rFonts w:ascii="Arial" w:hAnsi="Arial" w:cs="Arial"/>
          <w:b/>
          <w:bCs/>
          <w:color w:val="000000"/>
          <w:sz w:val="22"/>
          <w:szCs w:val="22"/>
        </w:rPr>
        <w:t>Healthcare Technology Management</w:t>
      </w:r>
      <w:r>
        <w:rPr>
          <w:rFonts w:ascii="Arial" w:hAnsi="Arial" w:cs="Arial"/>
          <w:color w:val="000000"/>
          <w:sz w:val="22"/>
          <w:szCs w:val="22"/>
        </w:rPr>
        <w:t xml:space="preserve"> profiles to guide training and succession planning for Information Systems professionals. </w:t>
      </w:r>
      <w:hyperlink r:id="rId16" w:anchor="!/content/book/1-s2.0-S1386505608000828#hl0000789" w:history="1">
        <w:r>
          <w:rPr>
            <w:rStyle w:val="Hyperlink"/>
            <w:rFonts w:ascii="Arial" w:hAnsi="Arial" w:cs="Arial"/>
            <w:color w:val="1155CC"/>
            <w:sz w:val="22"/>
            <w:szCs w:val="22"/>
          </w:rPr>
          <w:t>[3]</w:t>
        </w:r>
      </w:hyperlink>
    </w:p>
    <w:p w14:paraId="35A15252" w14:textId="77777777" w:rsidR="00FF1C2E" w:rsidRDefault="00FF1C2E" w:rsidP="00FF1C2E">
      <w:pPr>
        <w:pStyle w:val="NormalWeb"/>
        <w:spacing w:before="0" w:beforeAutospacing="0" w:after="160" w:afterAutospacing="0"/>
      </w:pPr>
      <w:r>
        <w:rPr>
          <w:rFonts w:ascii="Arial" w:hAnsi="Arial" w:cs="Arial"/>
          <w:color w:val="000000"/>
          <w:sz w:val="22"/>
          <w:szCs w:val="22"/>
        </w:rPr>
        <w:t> </w:t>
      </w:r>
    </w:p>
    <w:p w14:paraId="08DFDBCD" w14:textId="77777777" w:rsidR="00FF1C2E" w:rsidRDefault="00FF1C2E" w:rsidP="00FF1C2E">
      <w:pPr>
        <w:pStyle w:val="NormalWeb"/>
        <w:spacing w:before="0" w:beforeAutospacing="0" w:after="160" w:afterAutospacing="0"/>
      </w:pPr>
      <w:r>
        <w:rPr>
          <w:rFonts w:ascii="Arial" w:hAnsi="Arial" w:cs="Arial"/>
          <w:b/>
          <w:bCs/>
          <w:color w:val="000000"/>
          <w:sz w:val="22"/>
          <w:szCs w:val="22"/>
        </w:rPr>
        <w:t> Article #2</w:t>
      </w:r>
    </w:p>
    <w:p w14:paraId="0EFFE9F1" w14:textId="77777777" w:rsidR="00FF1C2E" w:rsidRDefault="00FF1C2E" w:rsidP="00FF1C2E">
      <w:pPr>
        <w:pStyle w:val="NormalWeb"/>
        <w:spacing w:before="0" w:beforeAutospacing="0" w:after="160" w:afterAutospacing="0"/>
      </w:pPr>
      <w:r>
        <w:rPr>
          <w:rFonts w:ascii="Arial" w:hAnsi="Arial" w:cs="Arial"/>
          <w:b/>
          <w:bCs/>
          <w:color w:val="000000"/>
          <w:sz w:val="22"/>
          <w:szCs w:val="22"/>
        </w:rPr>
        <w:t>Website</w:t>
      </w:r>
      <w:r>
        <w:rPr>
          <w:rFonts w:ascii="Arial" w:hAnsi="Arial" w:cs="Arial"/>
          <w:color w:val="000000"/>
          <w:sz w:val="22"/>
          <w:szCs w:val="22"/>
        </w:rPr>
        <w:t>: ProQuest</w:t>
      </w:r>
    </w:p>
    <w:p w14:paraId="0ABE8B4F" w14:textId="77777777" w:rsidR="00FF1C2E" w:rsidRDefault="00FF1C2E" w:rsidP="00FF1C2E">
      <w:pPr>
        <w:pStyle w:val="NormalWeb"/>
        <w:spacing w:before="0" w:beforeAutospacing="0" w:after="160" w:afterAutospacing="0"/>
      </w:pPr>
      <w:r>
        <w:rPr>
          <w:rFonts w:ascii="Arial" w:hAnsi="Arial" w:cs="Arial"/>
          <w:b/>
          <w:bCs/>
          <w:color w:val="000000"/>
          <w:sz w:val="22"/>
          <w:szCs w:val="22"/>
        </w:rPr>
        <w:t>Login</w:t>
      </w:r>
      <w:r>
        <w:rPr>
          <w:rFonts w:ascii="Arial" w:hAnsi="Arial" w:cs="Arial"/>
          <w:color w:val="000000"/>
          <w:sz w:val="22"/>
          <w:szCs w:val="22"/>
        </w:rPr>
        <w:t>: Redirect from Liberty University Library</w:t>
      </w:r>
    </w:p>
    <w:p w14:paraId="4AF3177C" w14:textId="77777777" w:rsidR="00FF1C2E" w:rsidRDefault="00FF1C2E" w:rsidP="00FF1C2E">
      <w:pPr>
        <w:pStyle w:val="NormalWeb"/>
        <w:spacing w:before="0" w:beforeAutospacing="0" w:after="160" w:afterAutospacing="0"/>
      </w:pPr>
      <w:r>
        <w:rPr>
          <w:rFonts w:ascii="Arial" w:hAnsi="Arial" w:cs="Arial"/>
          <w:b/>
          <w:bCs/>
          <w:color w:val="000000"/>
          <w:sz w:val="22"/>
          <w:szCs w:val="22"/>
        </w:rPr>
        <w:t>Article Name:</w:t>
      </w:r>
      <w:r>
        <w:rPr>
          <w:rFonts w:ascii="Arial" w:hAnsi="Arial" w:cs="Arial"/>
          <w:color w:val="000000"/>
          <w:sz w:val="22"/>
          <w:szCs w:val="22"/>
        </w:rPr>
        <w:t xml:space="preserve"> Culturally competent healthcare – A scoping review of strategies implemented in healthcare organizations and a model of culturally competent healthcare provision</w:t>
      </w:r>
    </w:p>
    <w:p w14:paraId="6AD8DC51" w14:textId="77777777" w:rsidR="00FF1C2E" w:rsidRDefault="00FF1C2E" w:rsidP="00FF1C2E">
      <w:pPr>
        <w:pStyle w:val="NormalWeb"/>
        <w:spacing w:before="0" w:beforeAutospacing="0" w:after="160" w:afterAutospacing="0"/>
      </w:pPr>
      <w:r>
        <w:rPr>
          <w:rFonts w:ascii="Arial" w:hAnsi="Arial" w:cs="Arial"/>
          <w:b/>
          <w:bCs/>
          <w:color w:val="000000"/>
          <w:sz w:val="22"/>
          <w:szCs w:val="22"/>
        </w:rPr>
        <w:t xml:space="preserve">Journal URL: </w:t>
      </w:r>
      <w:hyperlink r:id="rId17" w:history="1">
        <w:r>
          <w:rPr>
            <w:rStyle w:val="Hyperlink"/>
            <w:rFonts w:ascii="Arial" w:hAnsi="Arial" w:cs="Arial"/>
            <w:color w:val="1155CC"/>
            <w:sz w:val="22"/>
            <w:szCs w:val="22"/>
          </w:rPr>
          <w:t>https://www.proquest.com/docview/2267003498?_oafollow=false&amp;accountid=12085&amp;pq-origsite=summon&amp;sourcetype=Scholarly%20Journals</w:t>
        </w:r>
      </w:hyperlink>
      <w:r>
        <w:rPr>
          <w:rFonts w:ascii="Arial" w:hAnsi="Arial" w:cs="Arial"/>
          <w:color w:val="000000"/>
          <w:sz w:val="22"/>
          <w:szCs w:val="22"/>
        </w:rPr>
        <w:t> </w:t>
      </w:r>
    </w:p>
    <w:p w14:paraId="1C88FB53" w14:textId="77777777" w:rsidR="00FF1C2E" w:rsidRDefault="00FF1C2E" w:rsidP="00FF1C2E">
      <w:pPr>
        <w:pStyle w:val="NormalWeb"/>
        <w:spacing w:before="0" w:beforeAutospacing="0" w:after="160" w:afterAutospacing="0"/>
      </w:pPr>
      <w:r>
        <w:rPr>
          <w:rFonts w:ascii="Arial" w:hAnsi="Arial" w:cs="Arial"/>
          <w:b/>
          <w:bCs/>
          <w:color w:val="000000"/>
          <w:sz w:val="22"/>
          <w:szCs w:val="22"/>
        </w:rPr>
        <w:t xml:space="preserve">Synopsis: </w:t>
      </w:r>
      <w:r>
        <w:rPr>
          <w:rFonts w:ascii="Arial" w:hAnsi="Arial" w:cs="Arial"/>
          <w:color w:val="000000"/>
          <w:sz w:val="23"/>
          <w:szCs w:val="23"/>
        </w:rPr>
        <w:t xml:space="preserve">Here is the </w:t>
      </w:r>
      <w:r>
        <w:rPr>
          <w:rFonts w:ascii="Arial" w:hAnsi="Arial" w:cs="Arial"/>
          <w:b/>
          <w:bCs/>
          <w:color w:val="000000"/>
          <w:sz w:val="23"/>
          <w:szCs w:val="23"/>
        </w:rPr>
        <w:t>key takeaway</w:t>
      </w:r>
      <w:r>
        <w:rPr>
          <w:rFonts w:ascii="Arial" w:hAnsi="Arial" w:cs="Arial"/>
          <w:color w:val="000000"/>
          <w:sz w:val="23"/>
          <w:szCs w:val="23"/>
        </w:rPr>
        <w:t>.</w:t>
      </w:r>
    </w:p>
    <w:p w14:paraId="4E1E6835" w14:textId="77777777" w:rsidR="00FF1C2E" w:rsidRDefault="00FF1C2E" w:rsidP="00FF1C2E">
      <w:pPr>
        <w:pStyle w:val="NormalWeb"/>
        <w:spacing w:before="80" w:beforeAutospacing="0" w:after="80" w:afterAutospacing="0"/>
      </w:pPr>
      <w:r>
        <w:rPr>
          <w:rFonts w:ascii="Arial" w:hAnsi="Arial" w:cs="Arial"/>
          <w:color w:val="000000"/>
          <w:sz w:val="23"/>
          <w:szCs w:val="23"/>
        </w:rPr>
        <w:t>This scoping review identifies and organizes components and strategies for providing culturally competent healthcare to culturally and linguistically diverse patients, highlighting the need for improved access and the integration of various strategies within healthcare organizations.</w:t>
      </w:r>
    </w:p>
    <w:p w14:paraId="7F9096E9" w14:textId="77777777" w:rsidR="00FF1C2E" w:rsidRDefault="00FF1C2E" w:rsidP="00FF1C2E">
      <w:pPr>
        <w:pStyle w:val="Heading3"/>
        <w:spacing w:before="0" w:after="60"/>
      </w:pPr>
      <w:r>
        <w:rPr>
          <w:rFonts w:ascii="Arial" w:hAnsi="Arial" w:cs="Arial"/>
          <w:color w:val="000000"/>
          <w:sz w:val="23"/>
          <w:szCs w:val="23"/>
        </w:rPr>
        <w:t>Additional topics discussed include:</w:t>
      </w:r>
    </w:p>
    <w:p w14:paraId="68FA6ACB" w14:textId="77777777" w:rsidR="00FF1C2E" w:rsidRDefault="00FF1C2E" w:rsidP="00FF1C2E">
      <w:pPr>
        <w:pStyle w:val="NormalWeb"/>
        <w:numPr>
          <w:ilvl w:val="0"/>
          <w:numId w:val="13"/>
        </w:numPr>
        <w:spacing w:before="0" w:beforeAutospacing="0" w:after="0" w:afterAutospacing="0"/>
        <w:textAlignment w:val="baseline"/>
        <w:rPr>
          <w:rFonts w:ascii="Arial" w:hAnsi="Arial" w:cs="Arial"/>
          <w:color w:val="000000"/>
          <w:sz w:val="23"/>
          <w:szCs w:val="23"/>
        </w:rPr>
      </w:pPr>
      <w:r>
        <w:rPr>
          <w:rFonts w:ascii="Arial" w:hAnsi="Arial" w:cs="Arial"/>
          <w:color w:val="000000"/>
          <w:sz w:val="23"/>
          <w:szCs w:val="23"/>
        </w:rPr>
        <w:t>Cultural competence in healthcare</w:t>
      </w:r>
    </w:p>
    <w:p w14:paraId="69DFDB37" w14:textId="77777777" w:rsidR="00FF1C2E" w:rsidRDefault="00FF1C2E" w:rsidP="00FF1C2E">
      <w:pPr>
        <w:pStyle w:val="NormalWeb"/>
        <w:numPr>
          <w:ilvl w:val="0"/>
          <w:numId w:val="13"/>
        </w:numPr>
        <w:spacing w:before="0" w:beforeAutospacing="0" w:after="0" w:afterAutospacing="0"/>
        <w:textAlignment w:val="baseline"/>
        <w:rPr>
          <w:rFonts w:ascii="Arial" w:hAnsi="Arial" w:cs="Arial"/>
          <w:color w:val="000000"/>
          <w:sz w:val="23"/>
          <w:szCs w:val="23"/>
        </w:rPr>
      </w:pPr>
      <w:r>
        <w:rPr>
          <w:rFonts w:ascii="Arial" w:hAnsi="Arial" w:cs="Arial"/>
          <w:color w:val="000000"/>
          <w:sz w:val="23"/>
          <w:szCs w:val="23"/>
        </w:rPr>
        <w:t>Barriers faced by culturally diverse patients</w:t>
      </w:r>
    </w:p>
    <w:p w14:paraId="4BE9B548" w14:textId="77777777" w:rsidR="00FF1C2E" w:rsidRDefault="00FF1C2E" w:rsidP="00FF1C2E">
      <w:pPr>
        <w:pStyle w:val="NormalWeb"/>
        <w:numPr>
          <w:ilvl w:val="0"/>
          <w:numId w:val="13"/>
        </w:numPr>
        <w:spacing w:before="0" w:beforeAutospacing="0" w:after="160" w:afterAutospacing="0"/>
        <w:textAlignment w:val="baseline"/>
        <w:rPr>
          <w:rFonts w:ascii="Arial" w:hAnsi="Arial" w:cs="Arial"/>
          <w:color w:val="000000"/>
          <w:sz w:val="23"/>
          <w:szCs w:val="23"/>
        </w:rPr>
      </w:pPr>
      <w:r>
        <w:rPr>
          <w:rFonts w:ascii="Arial" w:hAnsi="Arial" w:cs="Arial"/>
          <w:color w:val="000000"/>
          <w:sz w:val="23"/>
          <w:szCs w:val="23"/>
        </w:rPr>
        <w:t>Impact of socioeconomic factors on healthcare access</w:t>
      </w:r>
    </w:p>
    <w:p w14:paraId="5FDC5F00" w14:textId="77777777" w:rsidR="00FF1C2E" w:rsidRDefault="00FF1C2E" w:rsidP="00FF1C2E">
      <w:pPr>
        <w:pStyle w:val="Heading3"/>
        <w:spacing w:before="0" w:after="60"/>
        <w:rPr>
          <w:rFonts w:ascii="Times New Roman" w:hAnsi="Times New Roman" w:cs="Times New Roman"/>
          <w:color w:val="auto"/>
          <w:sz w:val="27"/>
          <w:szCs w:val="27"/>
        </w:rPr>
      </w:pPr>
      <w:r>
        <w:rPr>
          <w:rFonts w:ascii="Arial" w:hAnsi="Arial" w:cs="Arial"/>
          <w:b/>
          <w:bCs/>
          <w:color w:val="000000"/>
          <w:sz w:val="23"/>
          <w:szCs w:val="23"/>
        </w:rPr>
        <w:t>Synopsis and conclusion</w:t>
      </w:r>
    </w:p>
    <w:p w14:paraId="243566A8" w14:textId="77777777" w:rsidR="00FF1C2E" w:rsidRDefault="00FF1C2E" w:rsidP="00FF1C2E">
      <w:pPr>
        <w:pStyle w:val="NormalWeb"/>
        <w:numPr>
          <w:ilvl w:val="0"/>
          <w:numId w:val="14"/>
        </w:numPr>
        <w:spacing w:before="220" w:beforeAutospacing="0" w:after="0" w:afterAutospacing="0"/>
        <w:ind w:left="1140"/>
        <w:textAlignment w:val="baseline"/>
        <w:rPr>
          <w:rFonts w:ascii="Arial" w:hAnsi="Arial" w:cs="Arial"/>
          <w:color w:val="000000"/>
          <w:sz w:val="23"/>
          <w:szCs w:val="23"/>
        </w:rPr>
      </w:pPr>
      <w:r>
        <w:rPr>
          <w:rFonts w:ascii="Arial" w:hAnsi="Arial" w:cs="Arial"/>
          <w:b/>
          <w:bCs/>
          <w:color w:val="000000"/>
          <w:sz w:val="23"/>
          <w:szCs w:val="23"/>
        </w:rPr>
        <w:t>Synopsis:</w:t>
      </w:r>
      <w:r>
        <w:rPr>
          <w:rFonts w:ascii="Arial" w:hAnsi="Arial" w:cs="Arial"/>
          <w:color w:val="000000"/>
          <w:sz w:val="23"/>
          <w:szCs w:val="23"/>
        </w:rPr>
        <w:t xml:space="preserve"> This article is a scoping review about culturally competent healthcare in healthcare organizations. The authors searched PubMed, PsycINFO, and Web of Science, and they included 67 studies. They grouped the findings into 20 categories across four main areas: individual-level components, organizational-level components, access strategies, and implementation strategies.</w:t>
      </w:r>
    </w:p>
    <w:p w14:paraId="2FB004D6" w14:textId="77777777" w:rsidR="00FF1C2E" w:rsidRDefault="00FF1C2E" w:rsidP="00FF1C2E">
      <w:pPr>
        <w:pStyle w:val="NormalWeb"/>
        <w:numPr>
          <w:ilvl w:val="0"/>
          <w:numId w:val="14"/>
        </w:numPr>
        <w:spacing w:before="0" w:beforeAutospacing="0" w:after="0" w:afterAutospacing="0"/>
        <w:textAlignment w:val="baseline"/>
        <w:rPr>
          <w:rFonts w:ascii="Arial" w:hAnsi="Arial" w:cs="Arial"/>
          <w:color w:val="000000"/>
          <w:sz w:val="23"/>
          <w:szCs w:val="23"/>
        </w:rPr>
      </w:pPr>
      <w:r>
        <w:rPr>
          <w:rFonts w:ascii="Arial" w:hAnsi="Arial" w:cs="Arial"/>
          <w:b/>
          <w:bCs/>
          <w:color w:val="000000"/>
          <w:sz w:val="23"/>
          <w:szCs w:val="23"/>
        </w:rPr>
        <w:t>Main findings:</w:t>
      </w:r>
      <w:r>
        <w:rPr>
          <w:rFonts w:ascii="Arial" w:hAnsi="Arial" w:cs="Arial"/>
          <w:color w:val="000000"/>
          <w:sz w:val="23"/>
          <w:szCs w:val="23"/>
        </w:rPr>
        <w:t xml:space="preserve"> The review says the most common components were cultural and linguistic matching and culturally adapted written or visual materials. The reported effects were generally positive, but they were often small or not significant, and </w:t>
      </w:r>
      <w:r>
        <w:rPr>
          <w:rFonts w:ascii="Arial" w:hAnsi="Arial" w:cs="Arial"/>
          <w:color w:val="000000"/>
          <w:sz w:val="23"/>
          <w:szCs w:val="23"/>
        </w:rPr>
        <w:lastRenderedPageBreak/>
        <w:t>many studies used several components at once, which made single effects hard to isolate.</w:t>
      </w:r>
    </w:p>
    <w:p w14:paraId="0EB65C5D" w14:textId="77777777" w:rsidR="00FF1C2E" w:rsidRDefault="00FF1C2E" w:rsidP="00FF1C2E">
      <w:pPr>
        <w:pStyle w:val="NormalWeb"/>
        <w:numPr>
          <w:ilvl w:val="0"/>
          <w:numId w:val="14"/>
        </w:numPr>
        <w:spacing w:before="0" w:beforeAutospacing="0" w:after="280" w:afterAutospacing="0"/>
        <w:textAlignment w:val="baseline"/>
        <w:rPr>
          <w:rFonts w:ascii="Arial" w:hAnsi="Arial" w:cs="Arial"/>
          <w:color w:val="000000"/>
          <w:sz w:val="23"/>
          <w:szCs w:val="23"/>
        </w:rPr>
      </w:pPr>
      <w:r>
        <w:rPr>
          <w:rFonts w:ascii="Arial" w:hAnsi="Arial" w:cs="Arial"/>
          <w:b/>
          <w:bCs/>
          <w:color w:val="000000"/>
          <w:sz w:val="23"/>
          <w:szCs w:val="23"/>
        </w:rPr>
        <w:t>Conclusion:</w:t>
      </w:r>
      <w:r>
        <w:rPr>
          <w:rFonts w:ascii="Arial" w:hAnsi="Arial" w:cs="Arial"/>
          <w:color w:val="000000"/>
          <w:sz w:val="23"/>
          <w:szCs w:val="23"/>
        </w:rPr>
        <w:t xml:space="preserve"> The authors conclude that the review provides a useful model of culturally competent healthcare provision, but it is not complete. They say future research needs stronger methods, simpler interventions, and better control groups so the effects of individual strategies can be tested more </w:t>
      </w:r>
      <w:proofErr w:type="spellStart"/>
      <w:proofErr w:type="gramStart"/>
      <w:r>
        <w:rPr>
          <w:rFonts w:ascii="Arial" w:hAnsi="Arial" w:cs="Arial"/>
          <w:color w:val="000000"/>
          <w:sz w:val="23"/>
          <w:szCs w:val="23"/>
        </w:rPr>
        <w:t>clearly.The</w:t>
      </w:r>
      <w:proofErr w:type="spellEnd"/>
      <w:proofErr w:type="gramEnd"/>
      <w:r>
        <w:rPr>
          <w:rFonts w:ascii="Arial" w:hAnsi="Arial" w:cs="Arial"/>
          <w:color w:val="000000"/>
          <w:sz w:val="23"/>
          <w:szCs w:val="23"/>
        </w:rPr>
        <w:t xml:space="preserve"> clearest positive findings were reported for </w:t>
      </w:r>
      <w:r>
        <w:rPr>
          <w:rFonts w:ascii="Arial" w:hAnsi="Arial" w:cs="Arial"/>
          <w:b/>
          <w:bCs/>
          <w:color w:val="000000"/>
          <w:sz w:val="23"/>
          <w:szCs w:val="23"/>
        </w:rPr>
        <w:t>patient-provider matching</w:t>
      </w:r>
      <w:r>
        <w:rPr>
          <w:rFonts w:ascii="Arial" w:hAnsi="Arial" w:cs="Arial"/>
          <w:color w:val="000000"/>
          <w:sz w:val="23"/>
          <w:szCs w:val="23"/>
        </w:rPr>
        <w:t xml:space="preserve">, </w:t>
      </w:r>
      <w:r>
        <w:rPr>
          <w:rFonts w:ascii="Arial" w:hAnsi="Arial" w:cs="Arial"/>
          <w:b/>
          <w:bCs/>
          <w:color w:val="000000"/>
          <w:sz w:val="23"/>
          <w:szCs w:val="23"/>
        </w:rPr>
        <w:t>community health workers</w:t>
      </w:r>
      <w:r>
        <w:rPr>
          <w:rFonts w:ascii="Arial" w:hAnsi="Arial" w:cs="Arial"/>
          <w:color w:val="000000"/>
          <w:sz w:val="23"/>
          <w:szCs w:val="23"/>
        </w:rPr>
        <w:t xml:space="preserve">, </w:t>
      </w:r>
      <w:r>
        <w:rPr>
          <w:rFonts w:ascii="Arial" w:hAnsi="Arial" w:cs="Arial"/>
          <w:b/>
          <w:bCs/>
          <w:color w:val="000000"/>
          <w:sz w:val="23"/>
          <w:szCs w:val="23"/>
        </w:rPr>
        <w:t>outreach methods</w:t>
      </w:r>
      <w:r>
        <w:rPr>
          <w:rFonts w:ascii="Arial" w:hAnsi="Arial" w:cs="Arial"/>
          <w:color w:val="000000"/>
          <w:sz w:val="23"/>
          <w:szCs w:val="23"/>
        </w:rPr>
        <w:t xml:space="preserve">, </w:t>
      </w:r>
      <w:r>
        <w:rPr>
          <w:rFonts w:ascii="Arial" w:hAnsi="Arial" w:cs="Arial"/>
          <w:b/>
          <w:bCs/>
          <w:color w:val="000000"/>
          <w:sz w:val="23"/>
          <w:szCs w:val="23"/>
        </w:rPr>
        <w:t>telemedicine</w:t>
      </w:r>
      <w:r>
        <w:rPr>
          <w:rFonts w:ascii="Arial" w:hAnsi="Arial" w:cs="Arial"/>
          <w:color w:val="000000"/>
          <w:sz w:val="23"/>
          <w:szCs w:val="23"/>
        </w:rPr>
        <w:t xml:space="preserve">, and </w:t>
      </w:r>
      <w:r>
        <w:rPr>
          <w:rFonts w:ascii="Arial" w:hAnsi="Arial" w:cs="Arial"/>
          <w:b/>
          <w:bCs/>
          <w:color w:val="000000"/>
          <w:sz w:val="23"/>
          <w:szCs w:val="23"/>
        </w:rPr>
        <w:t>community health networks</w:t>
      </w:r>
      <w:r>
        <w:rPr>
          <w:rFonts w:ascii="Arial" w:hAnsi="Arial" w:cs="Arial"/>
          <w:color w:val="000000"/>
          <w:sz w:val="23"/>
          <w:szCs w:val="23"/>
        </w:rPr>
        <w:t xml:space="preserve">. The review says patient-provider matching had </w:t>
      </w:r>
      <w:r>
        <w:rPr>
          <w:rFonts w:ascii="Arial" w:hAnsi="Arial" w:cs="Arial"/>
          <w:b/>
          <w:bCs/>
          <w:color w:val="000000"/>
          <w:sz w:val="23"/>
          <w:szCs w:val="23"/>
        </w:rPr>
        <w:t>moderate effects</w:t>
      </w:r>
      <w:r>
        <w:rPr>
          <w:rFonts w:ascii="Arial" w:hAnsi="Arial" w:cs="Arial"/>
          <w:color w:val="000000"/>
          <w:sz w:val="23"/>
          <w:szCs w:val="23"/>
        </w:rPr>
        <w:t xml:space="preserve"> on patient outcomes, CHWs had </w:t>
      </w:r>
      <w:r>
        <w:rPr>
          <w:rFonts w:ascii="Arial" w:hAnsi="Arial" w:cs="Arial"/>
          <w:b/>
          <w:bCs/>
          <w:color w:val="000000"/>
          <w:sz w:val="23"/>
          <w:szCs w:val="23"/>
        </w:rPr>
        <w:t>positive but modest effects</w:t>
      </w:r>
      <w:r>
        <w:rPr>
          <w:rFonts w:ascii="Arial" w:hAnsi="Arial" w:cs="Arial"/>
          <w:color w:val="000000"/>
          <w:sz w:val="23"/>
          <w:szCs w:val="23"/>
        </w:rPr>
        <w:t>, and outreach/community-network strategies improved screening, follow-up, or wait times in some studies.</w:t>
      </w:r>
    </w:p>
    <w:p w14:paraId="05020E5E" w14:textId="77777777" w:rsidR="00FF1C2E" w:rsidRDefault="00FF1C2E" w:rsidP="00FF1C2E">
      <w:pPr>
        <w:rPr>
          <w:rFonts w:ascii="Times New Roman" w:hAnsi="Times New Roman" w:cs="Times New Roman"/>
        </w:rPr>
      </w:pPr>
    </w:p>
    <w:p w14:paraId="3AEDD090" w14:textId="77777777" w:rsidR="00FF1C2E" w:rsidRDefault="00FF1C2E" w:rsidP="00FF1C2E">
      <w:pPr>
        <w:pStyle w:val="NormalWeb"/>
        <w:spacing w:before="0" w:beforeAutospacing="0" w:after="160" w:afterAutospacing="0"/>
      </w:pPr>
      <w:r>
        <w:rPr>
          <w:rFonts w:ascii="Arial" w:hAnsi="Arial" w:cs="Arial"/>
          <w:b/>
          <w:bCs/>
          <w:color w:val="000000"/>
          <w:sz w:val="22"/>
          <w:szCs w:val="22"/>
        </w:rPr>
        <w:t>Article #3</w:t>
      </w:r>
    </w:p>
    <w:p w14:paraId="506708CA" w14:textId="25754AF6" w:rsidR="00FF1C2E" w:rsidRDefault="00FF1C2E" w:rsidP="00FF1C2E">
      <w:pPr>
        <w:pStyle w:val="NormalWeb"/>
        <w:spacing w:before="0" w:beforeAutospacing="0" w:after="160" w:afterAutospacing="0"/>
      </w:pPr>
      <w:r>
        <w:rPr>
          <w:rFonts w:ascii="Arial" w:hAnsi="Arial" w:cs="Arial"/>
          <w:b/>
          <w:bCs/>
          <w:color w:val="000000"/>
          <w:sz w:val="22"/>
          <w:szCs w:val="22"/>
        </w:rPr>
        <w:t>Website</w:t>
      </w:r>
      <w:r>
        <w:rPr>
          <w:rFonts w:ascii="Arial" w:hAnsi="Arial" w:cs="Arial"/>
          <w:color w:val="000000"/>
          <w:sz w:val="22"/>
          <w:szCs w:val="22"/>
        </w:rPr>
        <w:t xml:space="preserve">: </w:t>
      </w:r>
      <w:r w:rsidR="002247BD">
        <w:rPr>
          <w:rFonts w:ascii="Arial" w:hAnsi="Arial" w:cs="Arial"/>
          <w:color w:val="000000"/>
          <w:sz w:val="22"/>
          <w:szCs w:val="22"/>
        </w:rPr>
        <w:t>Emerald.com</w:t>
      </w:r>
    </w:p>
    <w:p w14:paraId="1BC91D7A" w14:textId="17DB6CC1" w:rsidR="00FF1C2E" w:rsidRDefault="00FF1C2E" w:rsidP="00FF1C2E">
      <w:pPr>
        <w:pStyle w:val="NormalWeb"/>
        <w:spacing w:before="0" w:beforeAutospacing="0" w:after="160" w:afterAutospacing="0"/>
      </w:pPr>
      <w:r>
        <w:rPr>
          <w:rFonts w:ascii="Arial" w:hAnsi="Arial" w:cs="Arial"/>
          <w:b/>
          <w:bCs/>
          <w:color w:val="000000"/>
          <w:sz w:val="22"/>
          <w:szCs w:val="22"/>
        </w:rPr>
        <w:t>Login</w:t>
      </w:r>
      <w:r>
        <w:rPr>
          <w:rFonts w:ascii="Arial" w:hAnsi="Arial" w:cs="Arial"/>
          <w:color w:val="000000"/>
          <w:sz w:val="22"/>
          <w:szCs w:val="22"/>
        </w:rPr>
        <w:t xml:space="preserve">: </w:t>
      </w:r>
      <w:r w:rsidR="002247BD">
        <w:rPr>
          <w:rFonts w:ascii="Arial" w:hAnsi="Arial" w:cs="Arial"/>
          <w:color w:val="000000"/>
          <w:sz w:val="22"/>
          <w:szCs w:val="22"/>
        </w:rPr>
        <w:t>Liberty University access</w:t>
      </w:r>
    </w:p>
    <w:p w14:paraId="0D7CA0F9" w14:textId="631C4B39" w:rsidR="00FF1C2E" w:rsidRPr="002247BD" w:rsidRDefault="00FF1C2E" w:rsidP="002247BD">
      <w:pPr>
        <w:pStyle w:val="NormalWeb"/>
        <w:rPr>
          <w:rFonts w:ascii="Arial" w:hAnsi="Arial" w:cs="Arial"/>
          <w:color w:val="000000"/>
          <w:sz w:val="22"/>
          <w:szCs w:val="22"/>
        </w:rPr>
      </w:pPr>
      <w:r>
        <w:rPr>
          <w:rFonts w:ascii="Arial" w:hAnsi="Arial" w:cs="Arial"/>
          <w:b/>
          <w:bCs/>
          <w:color w:val="000000"/>
          <w:sz w:val="22"/>
          <w:szCs w:val="22"/>
        </w:rPr>
        <w:t>Article Name:</w:t>
      </w:r>
      <w:r>
        <w:rPr>
          <w:rFonts w:ascii="Arial" w:hAnsi="Arial" w:cs="Arial"/>
          <w:color w:val="000000"/>
          <w:sz w:val="22"/>
          <w:szCs w:val="22"/>
        </w:rPr>
        <w:t xml:space="preserve"> </w:t>
      </w:r>
      <w:r w:rsidR="002247BD" w:rsidRPr="002247BD">
        <w:rPr>
          <w:rFonts w:ascii="Arial" w:hAnsi="Arial" w:cs="Arial"/>
          <w:color w:val="000000"/>
          <w:sz w:val="22"/>
          <w:szCs w:val="22"/>
        </w:rPr>
        <w:t>Understanding the acceptance of</w:t>
      </w:r>
      <w:r w:rsidR="002247BD">
        <w:rPr>
          <w:rFonts w:ascii="Arial" w:hAnsi="Arial" w:cs="Arial"/>
          <w:color w:val="000000"/>
          <w:sz w:val="22"/>
          <w:szCs w:val="22"/>
        </w:rPr>
        <w:t xml:space="preserve"> </w:t>
      </w:r>
      <w:r w:rsidR="002247BD" w:rsidRPr="002247BD">
        <w:rPr>
          <w:rFonts w:ascii="Arial" w:hAnsi="Arial" w:cs="Arial"/>
          <w:color w:val="000000"/>
          <w:sz w:val="22"/>
          <w:szCs w:val="22"/>
        </w:rPr>
        <w:t>business intelligence from</w:t>
      </w:r>
      <w:r w:rsidR="002247BD">
        <w:rPr>
          <w:rFonts w:ascii="Arial" w:hAnsi="Arial" w:cs="Arial"/>
          <w:color w:val="000000"/>
          <w:sz w:val="22"/>
          <w:szCs w:val="22"/>
        </w:rPr>
        <w:t xml:space="preserve"> </w:t>
      </w:r>
      <w:r w:rsidR="002247BD" w:rsidRPr="002247BD">
        <w:rPr>
          <w:rFonts w:ascii="Arial" w:hAnsi="Arial" w:cs="Arial"/>
          <w:color w:val="000000"/>
          <w:sz w:val="22"/>
          <w:szCs w:val="22"/>
        </w:rPr>
        <w:t>healthcare professionals’</w:t>
      </w:r>
      <w:r w:rsidR="002247BD">
        <w:rPr>
          <w:rFonts w:ascii="Arial" w:hAnsi="Arial" w:cs="Arial"/>
          <w:color w:val="000000"/>
          <w:sz w:val="22"/>
          <w:szCs w:val="22"/>
        </w:rPr>
        <w:t xml:space="preserve"> </w:t>
      </w:r>
      <w:r w:rsidR="002247BD" w:rsidRPr="002247BD">
        <w:rPr>
          <w:rFonts w:ascii="Arial" w:hAnsi="Arial" w:cs="Arial"/>
          <w:color w:val="000000"/>
          <w:sz w:val="22"/>
          <w:szCs w:val="22"/>
        </w:rPr>
        <w:t>perspective: an empirical study of</w:t>
      </w:r>
      <w:r w:rsidR="002247BD">
        <w:rPr>
          <w:rFonts w:ascii="Arial" w:hAnsi="Arial" w:cs="Arial"/>
          <w:color w:val="000000"/>
          <w:sz w:val="22"/>
          <w:szCs w:val="22"/>
        </w:rPr>
        <w:t xml:space="preserve"> </w:t>
      </w:r>
      <w:r w:rsidR="002247BD" w:rsidRPr="002247BD">
        <w:rPr>
          <w:rFonts w:ascii="Arial" w:hAnsi="Arial" w:cs="Arial"/>
          <w:color w:val="000000"/>
          <w:sz w:val="22"/>
          <w:szCs w:val="22"/>
        </w:rPr>
        <w:t>healthcare organizations</w:t>
      </w:r>
    </w:p>
    <w:p w14:paraId="01382729" w14:textId="2DEE38C7" w:rsidR="00FF1C2E" w:rsidRDefault="00FF1C2E" w:rsidP="00FF1C2E">
      <w:pPr>
        <w:pStyle w:val="NormalWeb"/>
        <w:spacing w:before="0" w:beforeAutospacing="0" w:after="160" w:afterAutospacing="0"/>
      </w:pPr>
      <w:r>
        <w:rPr>
          <w:rFonts w:ascii="Arial" w:hAnsi="Arial" w:cs="Arial"/>
          <w:b/>
          <w:bCs/>
          <w:color w:val="000000"/>
          <w:sz w:val="22"/>
          <w:szCs w:val="22"/>
        </w:rPr>
        <w:t xml:space="preserve">Journal URL: </w:t>
      </w:r>
      <w:hyperlink r:id="rId18" w:history="1">
        <w:r w:rsidR="002247BD" w:rsidRPr="002247BD">
          <w:rPr>
            <w:rStyle w:val="Hyperlink"/>
            <w:rFonts w:ascii="Arial" w:hAnsi="Arial" w:cs="Arial"/>
            <w:sz w:val="22"/>
            <w:szCs w:val="22"/>
          </w:rPr>
          <w:t>https://www.emerald.com/ijoa/article-pdf/32/9/2135/9572734/ijoa-10-2023-4063.pdf</w:t>
        </w:r>
      </w:hyperlink>
      <w:r w:rsidR="002247BD">
        <w:rPr>
          <w:rFonts w:ascii="Arial" w:hAnsi="Arial" w:cs="Arial"/>
          <w:b/>
          <w:bCs/>
          <w:color w:val="000000"/>
          <w:sz w:val="22"/>
          <w:szCs w:val="22"/>
        </w:rPr>
        <w:t xml:space="preserve"> </w:t>
      </w:r>
    </w:p>
    <w:p w14:paraId="6ABF0764" w14:textId="77777777" w:rsidR="002247BD" w:rsidRPr="002247BD" w:rsidRDefault="00FF1C2E" w:rsidP="002247BD">
      <w:pPr>
        <w:pStyle w:val="NormalWeb"/>
        <w:rPr>
          <w:rFonts w:ascii="Arial" w:hAnsi="Arial" w:cs="Arial"/>
          <w:color w:val="000000"/>
          <w:sz w:val="22"/>
          <w:szCs w:val="22"/>
        </w:rPr>
      </w:pPr>
      <w:r>
        <w:rPr>
          <w:rFonts w:ascii="Arial" w:hAnsi="Arial" w:cs="Arial"/>
          <w:b/>
          <w:bCs/>
          <w:color w:val="000000"/>
          <w:sz w:val="22"/>
          <w:szCs w:val="22"/>
        </w:rPr>
        <w:t xml:space="preserve">Synopsis: </w:t>
      </w:r>
      <w:r w:rsidR="002247BD" w:rsidRPr="002247BD">
        <w:rPr>
          <w:rFonts w:ascii="Arial" w:hAnsi="Arial" w:cs="Arial"/>
          <w:color w:val="000000"/>
          <w:sz w:val="22"/>
          <w:szCs w:val="22"/>
        </w:rPr>
        <w:t>Purpose</w:t>
      </w:r>
    </w:p>
    <w:p w14:paraId="2D231AD9" w14:textId="66B459F1" w:rsidR="002247BD" w:rsidRPr="002247BD" w:rsidRDefault="002247BD" w:rsidP="002247BD">
      <w:pPr>
        <w:pStyle w:val="NormalWeb"/>
        <w:rPr>
          <w:rFonts w:ascii="Arial" w:hAnsi="Arial" w:cs="Arial"/>
          <w:color w:val="000000"/>
          <w:sz w:val="22"/>
          <w:szCs w:val="22"/>
        </w:rPr>
      </w:pPr>
      <w:r w:rsidRPr="002247BD">
        <w:rPr>
          <w:rFonts w:ascii="Arial" w:hAnsi="Arial" w:cs="Arial"/>
          <w:color w:val="000000"/>
          <w:sz w:val="22"/>
          <w:szCs w:val="22"/>
        </w:rPr>
        <w:t>Due to its ability to support well-informed decision-making, business intelligence (BI) has grown in popularity among executives across a range of industries. However, given the volume of data collected in health-care organizations, there is a lack of exploration concerning its implementation. Consequently, this research paper aims to investigate the key factors affecting the acceptance and use of BI in healthcare organizations.</w:t>
      </w:r>
    </w:p>
    <w:p w14:paraId="36C9B5EC" w14:textId="77777777" w:rsidR="002247BD" w:rsidRPr="002247BD" w:rsidRDefault="002247BD" w:rsidP="002247BD">
      <w:pPr>
        <w:pStyle w:val="NormalWeb"/>
        <w:rPr>
          <w:rFonts w:ascii="Arial" w:hAnsi="Arial" w:cs="Arial"/>
          <w:color w:val="000000"/>
          <w:sz w:val="22"/>
          <w:szCs w:val="22"/>
        </w:rPr>
      </w:pPr>
      <w:r w:rsidRPr="002247BD">
        <w:rPr>
          <w:rFonts w:ascii="Arial" w:hAnsi="Arial" w:cs="Arial"/>
          <w:color w:val="000000"/>
          <w:sz w:val="22"/>
          <w:szCs w:val="22"/>
        </w:rPr>
        <w:t>Design/methodology/approach</w:t>
      </w:r>
    </w:p>
    <w:p w14:paraId="1D7AB4F5" w14:textId="2FEB7214" w:rsidR="002247BD" w:rsidRPr="002247BD" w:rsidRDefault="002247BD" w:rsidP="002247BD">
      <w:pPr>
        <w:pStyle w:val="NormalWeb"/>
        <w:rPr>
          <w:rFonts w:ascii="Arial" w:hAnsi="Arial" w:cs="Arial"/>
          <w:color w:val="000000"/>
          <w:sz w:val="22"/>
          <w:szCs w:val="22"/>
        </w:rPr>
      </w:pPr>
      <w:r w:rsidRPr="002247BD">
        <w:rPr>
          <w:rFonts w:ascii="Arial" w:hAnsi="Arial" w:cs="Arial"/>
          <w:color w:val="000000"/>
          <w:sz w:val="22"/>
          <w:szCs w:val="22"/>
        </w:rPr>
        <w:t>Leveraging the theoretical lens of the “unified theory of acceptance and use of technology” (UTAUT), a study framework was proposed and integrated with three context-related factors, including “rational decision-making culture” (RDC), “perceived threat to professional autonomy” (PTA) and “medical–legal risk” (MLR). The variables in the study framework were categorized as follows: information systems (IS) perspective; organizational perspective; and user perspective. In Jordan, 434 healthcare professionals participated in a cross-sectional online survey that was used to collect data.</w:t>
      </w:r>
    </w:p>
    <w:p w14:paraId="077CD693" w14:textId="77777777" w:rsidR="002247BD" w:rsidRPr="002247BD" w:rsidRDefault="002247BD" w:rsidP="002247BD">
      <w:pPr>
        <w:pStyle w:val="NormalWeb"/>
        <w:rPr>
          <w:rFonts w:ascii="Arial" w:hAnsi="Arial" w:cs="Arial"/>
          <w:color w:val="000000"/>
          <w:sz w:val="22"/>
          <w:szCs w:val="22"/>
        </w:rPr>
      </w:pPr>
      <w:r w:rsidRPr="002247BD">
        <w:rPr>
          <w:rFonts w:ascii="Arial" w:hAnsi="Arial" w:cs="Arial"/>
          <w:color w:val="000000"/>
          <w:sz w:val="22"/>
          <w:szCs w:val="22"/>
        </w:rPr>
        <w:t>Findings</w:t>
      </w:r>
    </w:p>
    <w:p w14:paraId="55BD26A3" w14:textId="768448F2" w:rsidR="002247BD" w:rsidRPr="002247BD" w:rsidRDefault="002247BD" w:rsidP="002247BD">
      <w:pPr>
        <w:pStyle w:val="NormalWeb"/>
        <w:rPr>
          <w:rFonts w:ascii="Arial" w:hAnsi="Arial" w:cs="Arial"/>
          <w:color w:val="000000"/>
          <w:sz w:val="22"/>
          <w:szCs w:val="22"/>
        </w:rPr>
      </w:pPr>
      <w:r w:rsidRPr="002247BD">
        <w:rPr>
          <w:rFonts w:ascii="Arial" w:hAnsi="Arial" w:cs="Arial"/>
          <w:color w:val="000000"/>
          <w:sz w:val="22"/>
          <w:szCs w:val="22"/>
        </w:rPr>
        <w:t xml:space="preserve">The findings of the “structural equation modeling” revealed that professionals’ behavioral intentions toward using BI systems were significantly affected by performance expectancy, social influence, facilitating conditions, MLR, RDC and PTA. Also, an insignificant effect of PTA </w:t>
      </w:r>
      <w:r w:rsidRPr="002247BD">
        <w:rPr>
          <w:rFonts w:ascii="Arial" w:hAnsi="Arial" w:cs="Arial"/>
          <w:color w:val="000000"/>
          <w:sz w:val="22"/>
          <w:szCs w:val="22"/>
        </w:rPr>
        <w:lastRenderedPageBreak/>
        <w:t>on PE was found based on the results of statistical analysis. These variables explained 68% of the variance (R2) in the individuals’ intentions to use BI-based health-care systems.</w:t>
      </w:r>
    </w:p>
    <w:p w14:paraId="548031E6" w14:textId="77777777" w:rsidR="002247BD" w:rsidRPr="002247BD" w:rsidRDefault="002247BD" w:rsidP="002247BD">
      <w:pPr>
        <w:pStyle w:val="NormalWeb"/>
        <w:rPr>
          <w:rFonts w:ascii="Arial" w:hAnsi="Arial" w:cs="Arial"/>
          <w:color w:val="000000"/>
          <w:sz w:val="22"/>
          <w:szCs w:val="22"/>
        </w:rPr>
      </w:pPr>
      <w:r w:rsidRPr="002247BD">
        <w:rPr>
          <w:rFonts w:ascii="Arial" w:hAnsi="Arial" w:cs="Arial"/>
          <w:color w:val="000000"/>
          <w:sz w:val="22"/>
          <w:szCs w:val="22"/>
        </w:rPr>
        <w:t>Practical implications</w:t>
      </w:r>
    </w:p>
    <w:p w14:paraId="1147AAC6" w14:textId="4BEF6A65" w:rsidR="002247BD" w:rsidRPr="002247BD" w:rsidRDefault="002247BD" w:rsidP="002247BD">
      <w:pPr>
        <w:pStyle w:val="NormalWeb"/>
        <w:rPr>
          <w:rFonts w:ascii="Arial" w:hAnsi="Arial" w:cs="Arial"/>
          <w:color w:val="000000"/>
          <w:sz w:val="22"/>
          <w:szCs w:val="22"/>
        </w:rPr>
      </w:pPr>
      <w:r w:rsidRPr="002247BD">
        <w:rPr>
          <w:rFonts w:ascii="Arial" w:hAnsi="Arial" w:cs="Arial"/>
          <w:color w:val="000000"/>
          <w:sz w:val="22"/>
          <w:szCs w:val="22"/>
        </w:rPr>
        <w:t xml:space="preserve">To promote the acceptance and use of BI technology in health-care settings, developers, designers, service providers and decision-makers will find this study to have </w:t>
      </w:r>
      <w:proofErr w:type="gramStart"/>
      <w:r w:rsidRPr="002247BD">
        <w:rPr>
          <w:rFonts w:ascii="Arial" w:hAnsi="Arial" w:cs="Arial"/>
          <w:color w:val="000000"/>
          <w:sz w:val="22"/>
          <w:szCs w:val="22"/>
        </w:rPr>
        <w:t>a number of</w:t>
      </w:r>
      <w:proofErr w:type="gramEnd"/>
      <w:r w:rsidRPr="002247BD">
        <w:rPr>
          <w:rFonts w:ascii="Arial" w:hAnsi="Arial" w:cs="Arial"/>
          <w:color w:val="000000"/>
          <w:sz w:val="22"/>
          <w:szCs w:val="22"/>
        </w:rPr>
        <w:t xml:space="preserve"> practical implications. Additionally, it will support the development of effective strategies and BI-based health-care systems based on these study results, attracting the interest of many users.</w:t>
      </w:r>
    </w:p>
    <w:p w14:paraId="056F32F1" w14:textId="77777777" w:rsidR="002247BD" w:rsidRPr="002247BD" w:rsidRDefault="002247BD" w:rsidP="002247BD">
      <w:pPr>
        <w:pStyle w:val="NormalWeb"/>
        <w:rPr>
          <w:rFonts w:ascii="Arial" w:hAnsi="Arial" w:cs="Arial"/>
          <w:color w:val="000000"/>
          <w:sz w:val="22"/>
          <w:szCs w:val="22"/>
        </w:rPr>
      </w:pPr>
      <w:r w:rsidRPr="002247BD">
        <w:rPr>
          <w:rFonts w:ascii="Arial" w:hAnsi="Arial" w:cs="Arial"/>
          <w:color w:val="000000"/>
          <w:sz w:val="22"/>
          <w:szCs w:val="22"/>
        </w:rPr>
        <w:t>Originality/value</w:t>
      </w:r>
    </w:p>
    <w:p w14:paraId="6242F3EF" w14:textId="16020632" w:rsidR="00FF1C2E" w:rsidRPr="002247BD" w:rsidRDefault="002247BD" w:rsidP="002247BD">
      <w:pPr>
        <w:pStyle w:val="NormalWeb"/>
        <w:spacing w:before="0" w:beforeAutospacing="0" w:after="160" w:afterAutospacing="0"/>
      </w:pPr>
      <w:r w:rsidRPr="002247BD">
        <w:rPr>
          <w:rFonts w:ascii="Arial" w:hAnsi="Arial" w:cs="Arial"/>
          <w:color w:val="000000"/>
          <w:sz w:val="22"/>
          <w:szCs w:val="22"/>
        </w:rPr>
        <w:t>To the best of the author’s knowledge, this is one of the first studies that integrates the UTAUT model with three contextual factors (RDC, PTA and MLR) in addition to examining the suggested framework in a developing nation (Jordan). This study is one of the few in which the users’ acceptance behavior of BI systems was investigated in a health-care setting. More specifically, to the best of the author’s knowledge, this is the first study that reveals the critical antecedents of individuals’ intention to accept BI for health-care purposes in the Jordanian context.</w:t>
      </w:r>
    </w:p>
    <w:p w14:paraId="3D94FFD4" w14:textId="77777777" w:rsidR="00FF1C2E" w:rsidRDefault="00FF1C2E" w:rsidP="00FF1C2E"/>
    <w:p w14:paraId="18272B74" w14:textId="77777777" w:rsidR="00FF1C2E" w:rsidRDefault="00FF1C2E" w:rsidP="00FF1C2E">
      <w:pPr>
        <w:pStyle w:val="NormalWeb"/>
        <w:spacing w:before="0" w:beforeAutospacing="0" w:after="160" w:afterAutospacing="0"/>
      </w:pPr>
      <w:r>
        <w:rPr>
          <w:rFonts w:ascii="Arial" w:hAnsi="Arial" w:cs="Arial"/>
          <w:b/>
          <w:bCs/>
          <w:color w:val="000000"/>
          <w:sz w:val="22"/>
          <w:szCs w:val="22"/>
        </w:rPr>
        <w:t>Article #4</w:t>
      </w:r>
    </w:p>
    <w:p w14:paraId="31BAC6E6" w14:textId="09B1ACD6" w:rsidR="00FF1C2E" w:rsidRDefault="00FF1C2E" w:rsidP="00FF1C2E">
      <w:pPr>
        <w:pStyle w:val="NormalWeb"/>
        <w:spacing w:before="0" w:beforeAutospacing="0" w:after="160" w:afterAutospacing="0"/>
      </w:pPr>
      <w:r>
        <w:rPr>
          <w:rFonts w:ascii="Arial" w:hAnsi="Arial" w:cs="Arial"/>
          <w:b/>
          <w:bCs/>
          <w:color w:val="000000"/>
          <w:sz w:val="22"/>
          <w:szCs w:val="22"/>
        </w:rPr>
        <w:t>Website</w:t>
      </w:r>
      <w:r>
        <w:rPr>
          <w:rFonts w:ascii="Arial" w:hAnsi="Arial" w:cs="Arial"/>
          <w:color w:val="000000"/>
          <w:sz w:val="22"/>
          <w:szCs w:val="22"/>
        </w:rPr>
        <w:t xml:space="preserve">: </w:t>
      </w:r>
      <w:r w:rsidR="00245B28">
        <w:rPr>
          <w:rFonts w:ascii="Arial" w:hAnsi="Arial" w:cs="Arial"/>
          <w:color w:val="000000"/>
          <w:sz w:val="22"/>
          <w:szCs w:val="22"/>
        </w:rPr>
        <w:t>ProQuest</w:t>
      </w:r>
    </w:p>
    <w:p w14:paraId="656D4383" w14:textId="06624C8D" w:rsidR="00FF1C2E" w:rsidRDefault="00FF1C2E" w:rsidP="00FF1C2E">
      <w:pPr>
        <w:pStyle w:val="NormalWeb"/>
        <w:spacing w:before="0" w:beforeAutospacing="0" w:after="160" w:afterAutospacing="0"/>
      </w:pPr>
      <w:r>
        <w:rPr>
          <w:rFonts w:ascii="Arial" w:hAnsi="Arial" w:cs="Arial"/>
          <w:b/>
          <w:bCs/>
          <w:color w:val="000000"/>
          <w:sz w:val="22"/>
          <w:szCs w:val="22"/>
        </w:rPr>
        <w:t>Login</w:t>
      </w:r>
      <w:r>
        <w:rPr>
          <w:rFonts w:ascii="Arial" w:hAnsi="Arial" w:cs="Arial"/>
          <w:color w:val="000000"/>
          <w:sz w:val="22"/>
          <w:szCs w:val="22"/>
        </w:rPr>
        <w:t xml:space="preserve">: </w:t>
      </w:r>
      <w:r w:rsidR="00245B28">
        <w:rPr>
          <w:rFonts w:ascii="Arial" w:hAnsi="Arial" w:cs="Arial"/>
          <w:color w:val="000000"/>
          <w:sz w:val="22"/>
          <w:szCs w:val="22"/>
        </w:rPr>
        <w:t>Liberty University access</w:t>
      </w:r>
    </w:p>
    <w:p w14:paraId="2BC3F040" w14:textId="2441FE67" w:rsidR="00FF1C2E" w:rsidRDefault="00FF1C2E" w:rsidP="00FF1C2E">
      <w:pPr>
        <w:pStyle w:val="NormalWeb"/>
        <w:spacing w:before="0" w:beforeAutospacing="0" w:after="160" w:afterAutospacing="0"/>
      </w:pPr>
      <w:r>
        <w:rPr>
          <w:rFonts w:ascii="Arial" w:hAnsi="Arial" w:cs="Arial"/>
          <w:b/>
          <w:bCs/>
          <w:color w:val="000000"/>
          <w:sz w:val="22"/>
          <w:szCs w:val="22"/>
        </w:rPr>
        <w:t>Article Name:</w:t>
      </w:r>
      <w:r>
        <w:rPr>
          <w:rFonts w:ascii="Arial" w:hAnsi="Arial" w:cs="Arial"/>
          <w:color w:val="000000"/>
          <w:sz w:val="22"/>
          <w:szCs w:val="22"/>
        </w:rPr>
        <w:t xml:space="preserve"> </w:t>
      </w:r>
      <w:r w:rsidR="00245B28" w:rsidRPr="00245B28">
        <w:rPr>
          <w:rFonts w:ascii="Arial" w:hAnsi="Arial" w:cs="Arial"/>
          <w:color w:val="000000"/>
          <w:sz w:val="22"/>
          <w:szCs w:val="22"/>
        </w:rPr>
        <w:t>Public acceptability of public health policy to improve population health: A population</w:t>
      </w:r>
      <w:r w:rsidR="00245B28" w:rsidRPr="00245B28">
        <w:rPr>
          <w:rFonts w:ascii="Cambria Math" w:hAnsi="Cambria Math" w:cs="Cambria Math"/>
          <w:color w:val="000000"/>
          <w:sz w:val="22"/>
          <w:szCs w:val="22"/>
        </w:rPr>
        <w:t>‐</w:t>
      </w:r>
      <w:r w:rsidR="00245B28" w:rsidRPr="00245B28">
        <w:rPr>
          <w:rFonts w:ascii="Arial" w:hAnsi="Arial" w:cs="Arial"/>
          <w:color w:val="000000"/>
          <w:sz w:val="22"/>
          <w:szCs w:val="22"/>
        </w:rPr>
        <w:t>based survey</w:t>
      </w:r>
    </w:p>
    <w:p w14:paraId="16E4A42A" w14:textId="3104E036" w:rsidR="00FF1C2E" w:rsidRDefault="00FF1C2E" w:rsidP="00FF1C2E">
      <w:pPr>
        <w:pStyle w:val="NormalWeb"/>
        <w:spacing w:before="0" w:beforeAutospacing="0" w:after="160" w:afterAutospacing="0"/>
      </w:pPr>
      <w:r>
        <w:rPr>
          <w:rFonts w:ascii="Arial" w:hAnsi="Arial" w:cs="Arial"/>
          <w:b/>
          <w:bCs/>
          <w:color w:val="000000"/>
          <w:sz w:val="22"/>
          <w:szCs w:val="22"/>
        </w:rPr>
        <w:t xml:space="preserve">Journal URL: </w:t>
      </w:r>
      <w:hyperlink r:id="rId19" w:history="1">
        <w:r w:rsidR="00245B28" w:rsidRPr="00245B28">
          <w:rPr>
            <w:rStyle w:val="Hyperlink"/>
            <w:rFonts w:ascii="Arial" w:hAnsi="Arial" w:cs="Arial"/>
            <w:sz w:val="22"/>
            <w:szCs w:val="22"/>
          </w:rPr>
          <w:t>https://www.proquest.com/docview/2443277595?accountid=12085&amp;pq-origsite=summon&amp;sourcetype=Scholarly%20Journals</w:t>
        </w:r>
      </w:hyperlink>
    </w:p>
    <w:p w14:paraId="46A12E97" w14:textId="399C6144" w:rsidR="00245B28" w:rsidRPr="00245B28" w:rsidRDefault="00FF1C2E" w:rsidP="00245B28">
      <w:pPr>
        <w:pStyle w:val="NormalWeb"/>
        <w:rPr>
          <w:rFonts w:ascii="Arial" w:hAnsi="Arial" w:cs="Arial"/>
          <w:color w:val="000000"/>
          <w:sz w:val="22"/>
          <w:szCs w:val="22"/>
        </w:rPr>
      </w:pPr>
      <w:r>
        <w:rPr>
          <w:rFonts w:ascii="Arial" w:hAnsi="Arial" w:cs="Arial"/>
          <w:b/>
          <w:bCs/>
          <w:color w:val="000000"/>
          <w:sz w:val="22"/>
          <w:szCs w:val="22"/>
        </w:rPr>
        <w:t xml:space="preserve">Synopsis: </w:t>
      </w:r>
      <w:r w:rsidR="00245B28" w:rsidRPr="00245B28">
        <w:rPr>
          <w:rFonts w:ascii="Arial" w:hAnsi="Arial" w:cs="Arial"/>
          <w:color w:val="000000"/>
          <w:sz w:val="22"/>
          <w:szCs w:val="22"/>
        </w:rPr>
        <w:t>This article examined how acceptable public health statements were to a nationally representative sample of adults in Wales, and whether support varied by socio-demographics, health behaviors, health status, and well-being. The study used a cross-sectional household survey with 1,001 participants aged 16+ and asked whether they agreed, had no opinion, or disagreed with each statement.</w:t>
      </w:r>
    </w:p>
    <w:p w14:paraId="030E32CB" w14:textId="45340B5A" w:rsidR="00245B28" w:rsidRPr="00245B28" w:rsidRDefault="00245B28" w:rsidP="00245B28">
      <w:pPr>
        <w:pStyle w:val="NormalWeb"/>
        <w:rPr>
          <w:rFonts w:ascii="Arial" w:hAnsi="Arial" w:cs="Arial"/>
          <w:color w:val="000000"/>
          <w:sz w:val="22"/>
          <w:szCs w:val="22"/>
        </w:rPr>
      </w:pPr>
      <w:r w:rsidRPr="00245B28">
        <w:rPr>
          <w:rFonts w:ascii="Arial" w:hAnsi="Arial" w:cs="Arial"/>
          <w:color w:val="000000"/>
          <w:sz w:val="22"/>
          <w:szCs w:val="22"/>
        </w:rPr>
        <w:t>Most participants supported 10 of the 12 statements. The strongest support was for the idea that “a safe and loving childhood is essential to becoming a healthy adult” and for schools teaching more about healthy living; support was also high for cheaper healthy foods.</w:t>
      </w:r>
    </w:p>
    <w:p w14:paraId="1006FA46" w14:textId="53BFD6F3" w:rsidR="00245B28" w:rsidRPr="00245B28" w:rsidRDefault="00245B28" w:rsidP="00245B28">
      <w:pPr>
        <w:pStyle w:val="NormalWeb"/>
        <w:rPr>
          <w:rFonts w:ascii="Arial" w:hAnsi="Arial" w:cs="Arial"/>
          <w:color w:val="000000"/>
          <w:sz w:val="22"/>
          <w:szCs w:val="22"/>
        </w:rPr>
      </w:pPr>
      <w:r w:rsidRPr="00245B28">
        <w:rPr>
          <w:rFonts w:ascii="Arial" w:hAnsi="Arial" w:cs="Arial"/>
          <w:color w:val="000000"/>
          <w:sz w:val="22"/>
          <w:szCs w:val="22"/>
        </w:rPr>
        <w:t>The article says people who reported unhealthy behaviors were less likely to support some policies, such as banning alcohol adverts.</w:t>
      </w:r>
    </w:p>
    <w:p w14:paraId="5E5F4356" w14:textId="76BBF69D" w:rsidR="00FF1C2E" w:rsidRPr="00245B28" w:rsidRDefault="00245B28" w:rsidP="00245B28">
      <w:pPr>
        <w:pStyle w:val="NormalWeb"/>
        <w:spacing w:before="0" w:beforeAutospacing="0" w:after="160" w:afterAutospacing="0"/>
      </w:pPr>
      <w:r w:rsidRPr="00245B28">
        <w:rPr>
          <w:rFonts w:ascii="Arial" w:hAnsi="Arial" w:cs="Arial"/>
          <w:color w:val="000000"/>
          <w:sz w:val="22"/>
          <w:szCs w:val="22"/>
        </w:rPr>
        <w:t>The conclusion states there is broad public appetite for public health policies, and that support for policies may be linked with healthier behaviors in a way that could affect both public opinion and policy action.</w:t>
      </w:r>
    </w:p>
    <w:p w14:paraId="07A73594" w14:textId="77777777" w:rsidR="00FF1C2E" w:rsidRDefault="00FF1C2E" w:rsidP="00FF1C2E"/>
    <w:p w14:paraId="7F8298F6" w14:textId="2ADB466E" w:rsidR="00245B28" w:rsidRDefault="00245B28" w:rsidP="00245B28">
      <w:r>
        <w:lastRenderedPageBreak/>
        <w:t>Background</w:t>
      </w:r>
    </w:p>
    <w:p w14:paraId="51458594" w14:textId="3028DE0C" w:rsidR="00245B28" w:rsidRDefault="00245B28" w:rsidP="00245B28">
      <w:r>
        <w:t>For public health policies to be effective, it is critical that they are acceptable to the public as acceptance levels impact success rate.</w:t>
      </w:r>
    </w:p>
    <w:p w14:paraId="08129F75" w14:textId="2A44E599" w:rsidR="00245B28" w:rsidRDefault="00245B28" w:rsidP="00245B28">
      <w:r>
        <w:t>Objective</w:t>
      </w:r>
    </w:p>
    <w:p w14:paraId="6CCC2E82" w14:textId="4D7C07D2" w:rsidR="00245B28" w:rsidRDefault="00245B28" w:rsidP="00245B28">
      <w:r>
        <w:t>To explore public acceptance of public healt</w:t>
      </w:r>
      <w:r>
        <w:rPr>
          <w:rFonts w:hint="eastAsia"/>
        </w:rPr>
        <w:t>h statements and examine differences in acceptability across socio</w:t>
      </w:r>
      <w:r>
        <w:rPr>
          <w:rFonts w:hint="eastAsia"/>
        </w:rPr>
        <w:t>‐</w:t>
      </w:r>
      <w:r>
        <w:rPr>
          <w:rFonts w:hint="eastAsia"/>
        </w:rPr>
        <w:t xml:space="preserve">demographics, health </w:t>
      </w:r>
      <w:proofErr w:type="spellStart"/>
      <w:r>
        <w:rPr>
          <w:rFonts w:hint="eastAsia"/>
        </w:rPr>
        <w:t>behaviours</w:t>
      </w:r>
      <w:proofErr w:type="spellEnd"/>
      <w:r>
        <w:rPr>
          <w:rFonts w:hint="eastAsia"/>
        </w:rPr>
        <w:t xml:space="preserve"> (physical activity, diet, binge drinking and smoking), health status and well</w:t>
      </w:r>
      <w:r>
        <w:rPr>
          <w:rFonts w:hint="eastAsia"/>
        </w:rPr>
        <w:t>‐</w:t>
      </w:r>
      <w:r>
        <w:rPr>
          <w:rFonts w:hint="eastAsia"/>
        </w:rPr>
        <w:t>being.</w:t>
      </w:r>
    </w:p>
    <w:p w14:paraId="412500BB" w14:textId="394E8CEB" w:rsidR="00245B28" w:rsidRDefault="00245B28" w:rsidP="00245B28">
      <w:r>
        <w:t>Method</w:t>
      </w:r>
    </w:p>
    <w:p w14:paraId="7FC050E5" w14:textId="29122CD4" w:rsidR="00245B28" w:rsidRDefault="00245B28" w:rsidP="00245B28">
      <w:r>
        <w:rPr>
          <w:rFonts w:hint="eastAsia"/>
        </w:rPr>
        <w:t>A cross</w:t>
      </w:r>
      <w:r>
        <w:rPr>
          <w:rFonts w:hint="eastAsia"/>
        </w:rPr>
        <w:t>‐</w:t>
      </w:r>
      <w:r>
        <w:rPr>
          <w:rFonts w:hint="eastAsia"/>
        </w:rPr>
        <w:t>sectional survey was conducted with a nationally representative sample (N = 1001) using a random stratified sampling method. Face</w:t>
      </w:r>
      <w:r>
        <w:rPr>
          <w:rFonts w:hint="eastAsia"/>
        </w:rPr>
        <w:t>‐</w:t>
      </w:r>
      <w:r>
        <w:rPr>
          <w:rFonts w:hint="eastAsia"/>
        </w:rPr>
        <w:t>to</w:t>
      </w:r>
      <w:r>
        <w:rPr>
          <w:rFonts w:hint="eastAsia"/>
        </w:rPr>
        <w:t>‐</w:t>
      </w:r>
      <w:r>
        <w:rPr>
          <w:rFonts w:hint="eastAsia"/>
        </w:rPr>
        <w:t>face interviews were conducted at homes of residents in Wales aged 16+ years. Individuals reported whether they agr</w:t>
      </w:r>
      <w:r>
        <w:t>eed, had no opinion, or disagreed with 12 public health statements.</w:t>
      </w:r>
    </w:p>
    <w:p w14:paraId="77A3D0FE" w14:textId="677C5D3F" w:rsidR="00245B28" w:rsidRDefault="00245B28" w:rsidP="00245B28">
      <w:r>
        <w:t>Results</w:t>
      </w:r>
    </w:p>
    <w:p w14:paraId="1DAB0324" w14:textId="1E4F6903" w:rsidR="00245B28" w:rsidRDefault="00245B28" w:rsidP="00245B28">
      <w:r>
        <w:t xml:space="preserve">More than half of the sample were supportive of 10 out of 12 statements. The three statements with the greatest support (&gt;80% agreement) reflected the importance of: a safe and loving childhood to becoming a healthy adult, schools teaching about health, and healthier foods costing less. Individuals who engaged in unhealthy </w:t>
      </w:r>
      <w:proofErr w:type="spellStart"/>
      <w:r>
        <w:t>behaviours</w:t>
      </w:r>
      <w:proofErr w:type="spellEnd"/>
      <w:r>
        <w:t xml:space="preserve"> were less likely to agree with some of the statements (</w:t>
      </w:r>
      <w:proofErr w:type="spellStart"/>
      <w:r>
        <w:t>eg</w:t>
      </w:r>
      <w:proofErr w:type="spellEnd"/>
      <w:r>
        <w:t xml:space="preserve"> 39.8% of binge drinkers agreed alcohol adverts should be banned compared to 57.6% of those who never binge drink; P &lt; .001).</w:t>
      </w:r>
    </w:p>
    <w:p w14:paraId="6C14317C" w14:textId="7747F358" w:rsidR="00245B28" w:rsidRDefault="00245B28" w:rsidP="00245B28">
      <w:r>
        <w:t>Conclusions</w:t>
      </w:r>
    </w:p>
    <w:p w14:paraId="5930449F" w14:textId="5DBB58BB" w:rsidR="00245B28" w:rsidRDefault="00245B28" w:rsidP="00245B28">
      <w:r>
        <w:t xml:space="preserve">Findings show an appetite for public health policies among </w:t>
      </w:r>
      <w:proofErr w:type="gramStart"/>
      <w:r>
        <w:t>the majority of</w:t>
      </w:r>
      <w:proofErr w:type="gramEnd"/>
      <w:r>
        <w:t xml:space="preserve"> the public. The relationship between supporting policies and engaging in healthy </w:t>
      </w:r>
      <w:proofErr w:type="spellStart"/>
      <w:r>
        <w:t>behaviours</w:t>
      </w:r>
      <w:proofErr w:type="spellEnd"/>
      <w:r>
        <w:t xml:space="preserve"> suggests a feedback loop that is potentially capable of shifting both public opinion and the opportunities for policy intervention. If a nation becomes healthier, this could illicit greater support for stronger policies which could encourage more people to move in a healthier direction.</w:t>
      </w:r>
    </w:p>
    <w:p w14:paraId="34BF217E" w14:textId="77777777" w:rsidR="00FF1C2E" w:rsidRDefault="00FF1C2E" w:rsidP="00FF1C2E">
      <w:pPr>
        <w:pStyle w:val="NormalWeb"/>
        <w:spacing w:before="0" w:beforeAutospacing="0" w:after="160" w:afterAutospacing="0"/>
      </w:pPr>
      <w:r>
        <w:rPr>
          <w:rFonts w:ascii="Arial" w:hAnsi="Arial" w:cs="Arial"/>
          <w:b/>
          <w:bCs/>
          <w:color w:val="000000"/>
          <w:sz w:val="22"/>
          <w:szCs w:val="22"/>
        </w:rPr>
        <w:t>Article #5</w:t>
      </w:r>
    </w:p>
    <w:p w14:paraId="2374B77E" w14:textId="77777777" w:rsidR="00FF1C2E" w:rsidRDefault="00FF1C2E" w:rsidP="00FF1C2E">
      <w:pPr>
        <w:pStyle w:val="NormalWeb"/>
        <w:spacing w:before="0" w:beforeAutospacing="0" w:after="160" w:afterAutospacing="0"/>
      </w:pPr>
      <w:r>
        <w:rPr>
          <w:rFonts w:ascii="Arial" w:hAnsi="Arial" w:cs="Arial"/>
          <w:b/>
          <w:bCs/>
          <w:color w:val="000000"/>
          <w:sz w:val="22"/>
          <w:szCs w:val="22"/>
        </w:rPr>
        <w:t>Website</w:t>
      </w:r>
      <w:r>
        <w:rPr>
          <w:rFonts w:ascii="Arial" w:hAnsi="Arial" w:cs="Arial"/>
          <w:color w:val="000000"/>
          <w:sz w:val="22"/>
          <w:szCs w:val="22"/>
        </w:rPr>
        <w:t>: ScienceDirect.com</w:t>
      </w:r>
    </w:p>
    <w:p w14:paraId="4FB012A5" w14:textId="77777777" w:rsidR="00FF1C2E" w:rsidRDefault="00FF1C2E" w:rsidP="00FF1C2E">
      <w:pPr>
        <w:pStyle w:val="NormalWeb"/>
        <w:spacing w:before="0" w:beforeAutospacing="0" w:after="160" w:afterAutospacing="0"/>
      </w:pPr>
      <w:r>
        <w:rPr>
          <w:rFonts w:ascii="Arial" w:hAnsi="Arial" w:cs="Arial"/>
          <w:b/>
          <w:bCs/>
          <w:color w:val="000000"/>
          <w:sz w:val="22"/>
          <w:szCs w:val="22"/>
        </w:rPr>
        <w:t>Login</w:t>
      </w:r>
      <w:r>
        <w:rPr>
          <w:rFonts w:ascii="Arial" w:hAnsi="Arial" w:cs="Arial"/>
          <w:color w:val="000000"/>
          <w:sz w:val="22"/>
          <w:szCs w:val="22"/>
        </w:rPr>
        <w:t>: Liberty University access (</w:t>
      </w:r>
      <w:proofErr w:type="spellStart"/>
      <w:r>
        <w:rPr>
          <w:rFonts w:ascii="Arial" w:hAnsi="Arial" w:cs="Arial"/>
          <w:color w:val="000000"/>
          <w:sz w:val="22"/>
          <w:szCs w:val="22"/>
        </w:rPr>
        <w:t>mpmusician</w:t>
      </w:r>
      <w:proofErr w:type="spellEnd"/>
      <w:r>
        <w:rPr>
          <w:rFonts w:ascii="Arial" w:hAnsi="Arial" w:cs="Arial"/>
          <w:color w:val="000000"/>
          <w:sz w:val="22"/>
          <w:szCs w:val="22"/>
        </w:rPr>
        <w:t xml:space="preserve"> login)</w:t>
      </w:r>
    </w:p>
    <w:p w14:paraId="30C834C9" w14:textId="77777777" w:rsidR="00FF1C2E" w:rsidRDefault="00FF1C2E" w:rsidP="00FF1C2E">
      <w:pPr>
        <w:pStyle w:val="NormalWeb"/>
        <w:spacing w:before="0" w:beforeAutospacing="0" w:after="160" w:afterAutospacing="0"/>
      </w:pPr>
      <w:r>
        <w:rPr>
          <w:rFonts w:ascii="Arial" w:hAnsi="Arial" w:cs="Arial"/>
          <w:b/>
          <w:bCs/>
          <w:color w:val="000000"/>
          <w:sz w:val="22"/>
          <w:szCs w:val="22"/>
        </w:rPr>
        <w:t>Article Name:</w:t>
      </w:r>
      <w:r>
        <w:rPr>
          <w:rFonts w:ascii="Arial" w:hAnsi="Arial" w:cs="Arial"/>
          <w:color w:val="000000"/>
          <w:sz w:val="22"/>
          <w:szCs w:val="22"/>
        </w:rPr>
        <w:t xml:space="preserve"> Health migrations: How pre-migration healthcare experiences and US healthcare challenges shape immigrants’ transnational healthcare practices</w:t>
      </w:r>
    </w:p>
    <w:p w14:paraId="0B9DCBA1" w14:textId="77777777" w:rsidR="00FF1C2E" w:rsidRDefault="00FF1C2E" w:rsidP="00FF1C2E">
      <w:pPr>
        <w:pStyle w:val="NormalWeb"/>
        <w:spacing w:before="0" w:beforeAutospacing="0" w:after="160" w:afterAutospacing="0"/>
      </w:pPr>
      <w:r>
        <w:rPr>
          <w:rFonts w:ascii="Arial" w:hAnsi="Arial" w:cs="Arial"/>
          <w:b/>
          <w:bCs/>
          <w:color w:val="000000"/>
          <w:sz w:val="22"/>
          <w:szCs w:val="22"/>
        </w:rPr>
        <w:t xml:space="preserve">Journal URL: </w:t>
      </w:r>
      <w:hyperlink r:id="rId20" w:history="1">
        <w:r>
          <w:rPr>
            <w:rStyle w:val="Hyperlink"/>
            <w:rFonts w:ascii="Arial" w:hAnsi="Arial" w:cs="Arial"/>
            <w:color w:val="1155CC"/>
            <w:sz w:val="22"/>
            <w:szCs w:val="22"/>
          </w:rPr>
          <w:t>https://www.sciencedirect.com/science/article/pii/S0277953626004582</w:t>
        </w:r>
      </w:hyperlink>
      <w:r>
        <w:rPr>
          <w:rFonts w:ascii="Arial" w:hAnsi="Arial" w:cs="Arial"/>
          <w:color w:val="000000"/>
          <w:sz w:val="22"/>
          <w:szCs w:val="22"/>
        </w:rPr>
        <w:t> </w:t>
      </w:r>
    </w:p>
    <w:p w14:paraId="3F999357" w14:textId="77777777" w:rsidR="00FF1C2E" w:rsidRDefault="00FF1C2E" w:rsidP="00FF1C2E">
      <w:pPr>
        <w:pStyle w:val="NormalWeb"/>
        <w:spacing w:before="0" w:beforeAutospacing="0" w:after="160" w:afterAutospacing="0"/>
      </w:pPr>
      <w:r>
        <w:rPr>
          <w:rFonts w:ascii="Arial" w:hAnsi="Arial" w:cs="Arial"/>
          <w:b/>
          <w:bCs/>
          <w:color w:val="000000"/>
          <w:sz w:val="22"/>
          <w:szCs w:val="22"/>
        </w:rPr>
        <w:lastRenderedPageBreak/>
        <w:t xml:space="preserve">Synopsis: </w:t>
      </w:r>
      <w:r>
        <w:rPr>
          <w:rFonts w:ascii="Arial" w:hAnsi="Arial" w:cs="Arial"/>
          <w:color w:val="000000"/>
          <w:sz w:val="22"/>
          <w:szCs w:val="22"/>
        </w:rPr>
        <w:t>This study examines how Latin American immigrants in Boston navigate healthcare challenges through transnational healthcare practices (THCPs). Based on 132 interviews with Brazilian, Dominican, and Salvadoran immigrants and healthcare providers from 2012-2019, the research reveals four key findings:</w:t>
      </w:r>
    </w:p>
    <w:p w14:paraId="01B63EC3" w14:textId="77777777" w:rsidR="00FF1C2E" w:rsidRDefault="00FF1C2E" w:rsidP="00FF1C2E"/>
    <w:p w14:paraId="47925D43" w14:textId="77777777" w:rsidR="00FF1C2E" w:rsidRDefault="00FF1C2E" w:rsidP="00FF1C2E">
      <w:pPr>
        <w:pStyle w:val="NormalWeb"/>
        <w:spacing w:before="0" w:beforeAutospacing="0" w:after="160" w:afterAutospacing="0"/>
      </w:pPr>
      <w:r>
        <w:rPr>
          <w:rFonts w:ascii="Arial" w:hAnsi="Arial" w:cs="Arial"/>
          <w:color w:val="000000"/>
          <w:sz w:val="22"/>
          <w:szCs w:val="22"/>
        </w:rPr>
        <w:t>Key Findings</w:t>
      </w:r>
    </w:p>
    <w:p w14:paraId="5510A371" w14:textId="77777777" w:rsidR="00FF1C2E" w:rsidRDefault="00FF1C2E" w:rsidP="00FF1C2E">
      <w:pPr>
        <w:pStyle w:val="NormalWeb"/>
        <w:spacing w:before="0" w:beforeAutospacing="0" w:after="160" w:afterAutospacing="0"/>
      </w:pPr>
      <w:r>
        <w:rPr>
          <w:rFonts w:ascii="Arial" w:hAnsi="Arial" w:cs="Arial"/>
          <w:color w:val="000000"/>
          <w:sz w:val="22"/>
          <w:szCs w:val="22"/>
        </w:rPr>
        <w:t>Pre-migration healthcare experiences create a "transnational health frame of mind" that shapes immigrants' orientation toward cross-border healthcare practices.</w:t>
      </w:r>
    </w:p>
    <w:p w14:paraId="7A5AF732" w14:textId="77777777" w:rsidR="00FF1C2E" w:rsidRDefault="00FF1C2E" w:rsidP="00FF1C2E">
      <w:pPr>
        <w:pStyle w:val="NormalWeb"/>
        <w:spacing w:before="0" w:beforeAutospacing="0" w:after="160" w:afterAutospacing="0"/>
      </w:pPr>
      <w:r>
        <w:rPr>
          <w:rFonts w:ascii="Arial" w:hAnsi="Arial" w:cs="Arial"/>
          <w:color w:val="000000"/>
          <w:sz w:val="22"/>
          <w:szCs w:val="22"/>
        </w:rPr>
        <w:t>US healthcare challenges including documentation barriers, system complexity, and high costs drive immigrants to seek care elsewhere.</w:t>
      </w:r>
    </w:p>
    <w:p w14:paraId="0ECA2E81" w14:textId="77777777" w:rsidR="00FF1C2E" w:rsidRDefault="00FF1C2E" w:rsidP="00FF1C2E">
      <w:pPr>
        <w:pStyle w:val="NormalWeb"/>
        <w:spacing w:before="0" w:beforeAutospacing="0" w:after="160" w:afterAutospacing="0"/>
      </w:pPr>
      <w:r>
        <w:rPr>
          <w:rFonts w:ascii="Arial" w:hAnsi="Arial" w:cs="Arial"/>
          <w:color w:val="000000"/>
          <w:sz w:val="22"/>
          <w:szCs w:val="22"/>
        </w:rPr>
        <w:t>Three main THCPs emerge: receiving medications from home countries, virtual consultations with home-country doctors, and traveling home for medical procedures.</w:t>
      </w:r>
    </w:p>
    <w:p w14:paraId="7D66CFB8" w14:textId="77777777" w:rsidR="00FF1C2E" w:rsidRDefault="00FF1C2E" w:rsidP="00FF1C2E">
      <w:pPr>
        <w:pStyle w:val="NormalWeb"/>
        <w:spacing w:before="0" w:beforeAutospacing="0" w:after="160" w:afterAutospacing="0"/>
      </w:pPr>
      <w:r>
        <w:rPr>
          <w:rFonts w:ascii="Arial" w:hAnsi="Arial" w:cs="Arial"/>
          <w:color w:val="000000"/>
          <w:sz w:val="22"/>
          <w:szCs w:val="22"/>
        </w:rPr>
        <w:t xml:space="preserve">Provider-patient perspectives </w:t>
      </w:r>
      <w:proofErr w:type="gramStart"/>
      <w:r>
        <w:rPr>
          <w:rFonts w:ascii="Arial" w:hAnsi="Arial" w:cs="Arial"/>
          <w:color w:val="000000"/>
          <w:sz w:val="22"/>
          <w:szCs w:val="22"/>
        </w:rPr>
        <w:t>differ:</w:t>
      </w:r>
      <w:proofErr w:type="gramEnd"/>
      <w:r>
        <w:rPr>
          <w:rFonts w:ascii="Arial" w:hAnsi="Arial" w:cs="Arial"/>
          <w:color w:val="000000"/>
          <w:sz w:val="22"/>
          <w:szCs w:val="22"/>
        </w:rPr>
        <w:t xml:space="preserve"> while immigrants view THCPs positively as solutions to unmet needs, providers express concerns about potential health complications.</w:t>
      </w:r>
    </w:p>
    <w:p w14:paraId="6C3BC345" w14:textId="77777777" w:rsidR="00FF1C2E" w:rsidRDefault="00FF1C2E" w:rsidP="00FF1C2E">
      <w:pPr>
        <w:pStyle w:val="NormalWeb"/>
        <w:spacing w:before="0" w:beforeAutospacing="0" w:after="160" w:afterAutospacing="0"/>
      </w:pPr>
      <w:r>
        <w:rPr>
          <w:rFonts w:ascii="Arial" w:hAnsi="Arial" w:cs="Arial"/>
          <w:color w:val="000000"/>
          <w:sz w:val="22"/>
          <w:szCs w:val="22"/>
        </w:rPr>
        <w:t>The study demonstrates that THCPs represent immigrants' agency to meet healthcare needs amid structural and socio-cultural barriers in the US system 1. Pre-migration socioeconomic status significantly influences which practices immigrants can access.</w:t>
      </w:r>
    </w:p>
    <w:p w14:paraId="4BBF30F7" w14:textId="77777777" w:rsidR="00FF1C2E" w:rsidRDefault="00FF1C2E" w:rsidP="00FF1C2E">
      <w:pPr>
        <w:pStyle w:val="NormalWeb"/>
        <w:spacing w:before="0" w:beforeAutospacing="0" w:after="160" w:afterAutospacing="0"/>
      </w:pPr>
      <w:r>
        <w:rPr>
          <w:rFonts w:ascii="Arial" w:hAnsi="Arial" w:cs="Arial"/>
          <w:color w:val="000000"/>
          <w:sz w:val="22"/>
          <w:szCs w:val="22"/>
        </w:rPr>
        <w:t>Methodology summary:</w:t>
      </w:r>
    </w:p>
    <w:p w14:paraId="00C65A29" w14:textId="77777777" w:rsidR="00FF1C2E" w:rsidRDefault="00FF1C2E" w:rsidP="00FF1C2E">
      <w:pPr>
        <w:pStyle w:val="NormalWeb"/>
        <w:spacing w:before="0" w:beforeAutospacing="0" w:after="160" w:afterAutospacing="0"/>
      </w:pPr>
      <w:r>
        <w:rPr>
          <w:rFonts w:ascii="Arial" w:hAnsi="Arial" w:cs="Arial"/>
          <w:color w:val="000000"/>
          <w:sz w:val="22"/>
          <w:szCs w:val="22"/>
        </w:rPr>
        <w:t>This study employed a qualitative research methodology with several key components:</w:t>
      </w:r>
    </w:p>
    <w:p w14:paraId="547D95FC" w14:textId="77777777" w:rsidR="00FF1C2E" w:rsidRDefault="00FF1C2E" w:rsidP="00FF1C2E"/>
    <w:p w14:paraId="70EFBC23" w14:textId="77777777" w:rsidR="00FF1C2E" w:rsidRDefault="00FF1C2E" w:rsidP="00FF1C2E">
      <w:pPr>
        <w:pStyle w:val="NormalWeb"/>
        <w:spacing w:before="0" w:beforeAutospacing="0" w:after="160" w:afterAutospacing="0"/>
      </w:pPr>
      <w:r>
        <w:rPr>
          <w:rFonts w:ascii="Arial" w:hAnsi="Arial" w:cs="Arial"/>
          <w:color w:val="000000"/>
          <w:sz w:val="22"/>
          <w:szCs w:val="22"/>
        </w:rPr>
        <w:t>Research Design</w:t>
      </w:r>
    </w:p>
    <w:p w14:paraId="38117CFB" w14:textId="77777777" w:rsidR="00FF1C2E" w:rsidRDefault="00FF1C2E" w:rsidP="00FF1C2E">
      <w:pPr>
        <w:pStyle w:val="NormalWeb"/>
        <w:spacing w:before="0" w:beforeAutospacing="0" w:after="160" w:afterAutospacing="0"/>
      </w:pPr>
      <w:r>
        <w:rPr>
          <w:rFonts w:ascii="Arial" w:hAnsi="Arial" w:cs="Arial"/>
          <w:color w:val="000000"/>
          <w:sz w:val="22"/>
          <w:szCs w:val="22"/>
        </w:rPr>
        <w:t>Longitudinal interview study conducted across three time periods (2012-2013, 2015-2016, 2019) to capture policy changes.</w:t>
      </w:r>
    </w:p>
    <w:p w14:paraId="11F4832D" w14:textId="77777777" w:rsidR="00FF1C2E" w:rsidRDefault="00FF1C2E" w:rsidP="00FF1C2E">
      <w:pPr>
        <w:pStyle w:val="NormalWeb"/>
        <w:spacing w:before="0" w:beforeAutospacing="0" w:after="160" w:afterAutospacing="0"/>
      </w:pPr>
      <w:r>
        <w:rPr>
          <w:rFonts w:ascii="Arial" w:hAnsi="Arial" w:cs="Arial"/>
          <w:color w:val="000000"/>
          <w:sz w:val="22"/>
          <w:szCs w:val="22"/>
        </w:rPr>
        <w:t>132 total interviews with Latin American immigrants (82) and healthcare providers (50) in Boston.</w:t>
      </w:r>
    </w:p>
    <w:p w14:paraId="6C590E97" w14:textId="77777777" w:rsidR="00FF1C2E" w:rsidRDefault="00FF1C2E" w:rsidP="00FF1C2E">
      <w:pPr>
        <w:pStyle w:val="NormalWeb"/>
        <w:spacing w:before="0" w:beforeAutospacing="0" w:after="160" w:afterAutospacing="0"/>
      </w:pPr>
      <w:r>
        <w:rPr>
          <w:rFonts w:ascii="Arial" w:hAnsi="Arial" w:cs="Arial"/>
          <w:color w:val="000000"/>
          <w:sz w:val="22"/>
          <w:szCs w:val="22"/>
        </w:rPr>
        <w:t>Purposive snowball sampling used to recruit hard-to-reach immigrant populations.</w:t>
      </w:r>
    </w:p>
    <w:p w14:paraId="2F91AE5E" w14:textId="77777777" w:rsidR="00FF1C2E" w:rsidRDefault="00FF1C2E" w:rsidP="00FF1C2E">
      <w:pPr>
        <w:pStyle w:val="NormalWeb"/>
        <w:spacing w:before="0" w:beforeAutospacing="0" w:after="160" w:afterAutospacing="0"/>
      </w:pPr>
      <w:r>
        <w:rPr>
          <w:rFonts w:ascii="Arial" w:hAnsi="Arial" w:cs="Arial"/>
          <w:color w:val="000000"/>
          <w:sz w:val="22"/>
          <w:szCs w:val="22"/>
        </w:rPr>
        <w:t>Grounded theory approach with inductive analysis using open and focused coding.</w:t>
      </w:r>
    </w:p>
    <w:p w14:paraId="02DB1B34" w14:textId="77777777" w:rsidR="00FF1C2E" w:rsidRDefault="00FF1C2E" w:rsidP="00FF1C2E">
      <w:pPr>
        <w:pStyle w:val="NormalWeb"/>
        <w:spacing w:before="0" w:beforeAutospacing="0" w:after="160" w:afterAutospacing="0"/>
      </w:pPr>
      <w:r>
        <w:rPr>
          <w:rFonts w:ascii="Arial" w:hAnsi="Arial" w:cs="Arial"/>
          <w:color w:val="000000"/>
          <w:sz w:val="22"/>
          <w:szCs w:val="22"/>
        </w:rPr>
        <w:t>Data Collection</w:t>
      </w:r>
    </w:p>
    <w:p w14:paraId="2AAF3F35" w14:textId="77777777" w:rsidR="00FF1C2E" w:rsidRDefault="00FF1C2E" w:rsidP="00FF1C2E">
      <w:pPr>
        <w:pStyle w:val="NormalWeb"/>
        <w:spacing w:before="0" w:beforeAutospacing="0" w:after="160" w:afterAutospacing="0"/>
      </w:pPr>
      <w:r>
        <w:rPr>
          <w:rFonts w:ascii="Arial" w:hAnsi="Arial" w:cs="Arial"/>
          <w:color w:val="000000"/>
          <w:sz w:val="22"/>
          <w:szCs w:val="22"/>
        </w:rPr>
        <w:t>60-minute interviews conducted in Portuguese or Spanish for immigrants, English for providers.</w:t>
      </w:r>
    </w:p>
    <w:p w14:paraId="20189944" w14:textId="77777777" w:rsidR="00FF1C2E" w:rsidRDefault="00FF1C2E" w:rsidP="00FF1C2E">
      <w:pPr>
        <w:pStyle w:val="NormalWeb"/>
        <w:spacing w:before="0" w:beforeAutospacing="0" w:after="160" w:afterAutospacing="0"/>
      </w:pPr>
      <w:r>
        <w:rPr>
          <w:rFonts w:ascii="Arial" w:hAnsi="Arial" w:cs="Arial"/>
          <w:color w:val="000000"/>
          <w:sz w:val="22"/>
          <w:szCs w:val="22"/>
        </w:rPr>
        <w:t>Audio recording of 130 interviews (2 declined due to safety concerns).</w:t>
      </w:r>
    </w:p>
    <w:p w14:paraId="6ABC9B58" w14:textId="77777777" w:rsidR="00FF1C2E" w:rsidRDefault="00FF1C2E" w:rsidP="00FF1C2E">
      <w:pPr>
        <w:pStyle w:val="NormalWeb"/>
        <w:spacing w:before="0" w:beforeAutospacing="0" w:after="160" w:afterAutospacing="0"/>
      </w:pPr>
      <w:r>
        <w:rPr>
          <w:rFonts w:ascii="Arial" w:hAnsi="Arial" w:cs="Arial"/>
          <w:color w:val="000000"/>
          <w:sz w:val="22"/>
          <w:szCs w:val="22"/>
        </w:rPr>
        <w:t>NVivo software used for qualitative data analysis.</w:t>
      </w:r>
    </w:p>
    <w:p w14:paraId="60A07069" w14:textId="77777777" w:rsidR="00FF1C2E" w:rsidRDefault="00FF1C2E" w:rsidP="00FF1C2E">
      <w:pPr>
        <w:pStyle w:val="NormalWeb"/>
        <w:spacing w:before="0" w:beforeAutospacing="0" w:after="160" w:afterAutospacing="0"/>
      </w:pPr>
      <w:r>
        <w:rPr>
          <w:rFonts w:ascii="Arial" w:hAnsi="Arial" w:cs="Arial"/>
          <w:color w:val="000000"/>
          <w:sz w:val="22"/>
          <w:szCs w:val="22"/>
        </w:rPr>
        <w:t>Key Conclusions</w:t>
      </w:r>
    </w:p>
    <w:p w14:paraId="06054623" w14:textId="77777777" w:rsidR="00FF1C2E" w:rsidRDefault="00FF1C2E" w:rsidP="00FF1C2E">
      <w:pPr>
        <w:pStyle w:val="NormalWeb"/>
        <w:spacing w:before="0" w:beforeAutospacing="0" w:after="160" w:afterAutospacing="0"/>
      </w:pPr>
      <w:r>
        <w:rPr>
          <w:rFonts w:ascii="Arial" w:hAnsi="Arial" w:cs="Arial"/>
          <w:color w:val="000000"/>
          <w:sz w:val="22"/>
          <w:szCs w:val="22"/>
        </w:rPr>
        <w:t>The study concludes that THCPs represent migrants' agency to meet healthcare needs amid US system challenges. Specifically:</w:t>
      </w:r>
    </w:p>
    <w:p w14:paraId="136065F7" w14:textId="77777777" w:rsidR="00FF1C2E" w:rsidRDefault="00FF1C2E" w:rsidP="00FF1C2E">
      <w:pPr>
        <w:pStyle w:val="NormalWeb"/>
        <w:spacing w:before="0" w:beforeAutospacing="0" w:after="160" w:afterAutospacing="0"/>
      </w:pPr>
      <w:r>
        <w:rPr>
          <w:rFonts w:ascii="Arial" w:hAnsi="Arial" w:cs="Arial"/>
          <w:color w:val="000000"/>
          <w:sz w:val="22"/>
          <w:szCs w:val="22"/>
        </w:rPr>
        <w:t>Pre-migration healthcare exposure is crucial for developing THCP orientation - this is "one of the first papers in the US context to empirically demonstrate" this relationship.</w:t>
      </w:r>
    </w:p>
    <w:p w14:paraId="74345F83" w14:textId="77777777" w:rsidR="00FF1C2E" w:rsidRDefault="00FF1C2E" w:rsidP="00FF1C2E">
      <w:pPr>
        <w:pStyle w:val="NormalWeb"/>
        <w:spacing w:before="0" w:beforeAutospacing="0" w:after="160" w:afterAutospacing="0"/>
      </w:pPr>
      <w:r>
        <w:rPr>
          <w:rFonts w:ascii="Arial" w:hAnsi="Arial" w:cs="Arial"/>
          <w:color w:val="000000"/>
          <w:sz w:val="22"/>
          <w:szCs w:val="22"/>
        </w:rPr>
        <w:lastRenderedPageBreak/>
        <w:t>Socioeconomic status (both pre- and post-migration) significantly shapes which THCPs immigrants can access.</w:t>
      </w:r>
    </w:p>
    <w:p w14:paraId="184119EE" w14:textId="77777777" w:rsidR="00FF1C2E" w:rsidRDefault="00FF1C2E" w:rsidP="00FF1C2E">
      <w:pPr>
        <w:pStyle w:val="NormalWeb"/>
        <w:spacing w:before="0" w:beforeAutospacing="0" w:after="160" w:afterAutospacing="0"/>
      </w:pPr>
      <w:r>
        <w:rPr>
          <w:rFonts w:ascii="Arial" w:hAnsi="Arial" w:cs="Arial"/>
          <w:color w:val="000000"/>
          <w:sz w:val="22"/>
          <w:szCs w:val="22"/>
        </w:rPr>
        <w:t>THCPs serve as workarounds for structural barriers but can create medical complications and provider challenges.</w:t>
      </w:r>
    </w:p>
    <w:p w14:paraId="148C8453" w14:textId="77777777" w:rsidR="00FF1C2E" w:rsidRDefault="00FF1C2E" w:rsidP="00FF1C2E">
      <w:pPr>
        <w:pStyle w:val="NormalWeb"/>
        <w:spacing w:before="0" w:beforeAutospacing="0" w:after="160" w:afterAutospacing="0"/>
      </w:pPr>
      <w:r>
        <w:rPr>
          <w:rFonts w:ascii="Arial" w:hAnsi="Arial" w:cs="Arial"/>
          <w:color w:val="000000"/>
          <w:sz w:val="22"/>
          <w:szCs w:val="22"/>
        </w:rPr>
        <w:t>The research contributes new insights into transnationalism, immigration, and healthcare by highlighting how pre-migration experiences shape cross-border healthcare navigation.</w:t>
      </w:r>
    </w:p>
    <w:p w14:paraId="6DBD14DA" w14:textId="77777777" w:rsidR="00FF1C2E" w:rsidRDefault="00FF1C2E" w:rsidP="00FF1C2E"/>
    <w:p w14:paraId="09D5F1F3" w14:textId="77777777" w:rsidR="00FF1C2E" w:rsidRDefault="00FF1C2E" w:rsidP="00FF1C2E">
      <w:pPr>
        <w:pStyle w:val="NormalWeb"/>
        <w:spacing w:before="0" w:beforeAutospacing="0" w:after="160" w:afterAutospacing="0"/>
      </w:pPr>
      <w:r>
        <w:rPr>
          <w:rFonts w:ascii="Arial" w:hAnsi="Arial" w:cs="Arial"/>
          <w:b/>
          <w:bCs/>
          <w:color w:val="000000"/>
          <w:sz w:val="22"/>
          <w:szCs w:val="22"/>
        </w:rPr>
        <w:t>Article #6</w:t>
      </w:r>
    </w:p>
    <w:p w14:paraId="6FAFA967" w14:textId="77777777" w:rsidR="00FF1C2E" w:rsidRDefault="00FF1C2E" w:rsidP="00FF1C2E">
      <w:pPr>
        <w:pStyle w:val="NormalWeb"/>
        <w:spacing w:before="0" w:beforeAutospacing="0" w:after="160" w:afterAutospacing="0"/>
      </w:pPr>
      <w:r>
        <w:rPr>
          <w:rFonts w:ascii="Arial" w:hAnsi="Arial" w:cs="Arial"/>
          <w:b/>
          <w:bCs/>
          <w:color w:val="000000"/>
          <w:sz w:val="22"/>
          <w:szCs w:val="22"/>
        </w:rPr>
        <w:t>Website</w:t>
      </w:r>
      <w:r>
        <w:rPr>
          <w:rFonts w:ascii="Arial" w:hAnsi="Arial" w:cs="Arial"/>
          <w:color w:val="000000"/>
          <w:sz w:val="22"/>
          <w:szCs w:val="22"/>
        </w:rPr>
        <w:t>: ProQuest</w:t>
      </w:r>
    </w:p>
    <w:p w14:paraId="4102C21D" w14:textId="77777777" w:rsidR="00FF1C2E" w:rsidRDefault="00FF1C2E" w:rsidP="00FF1C2E">
      <w:pPr>
        <w:pStyle w:val="NormalWeb"/>
        <w:spacing w:before="0" w:beforeAutospacing="0" w:after="160" w:afterAutospacing="0"/>
      </w:pPr>
      <w:r>
        <w:rPr>
          <w:rFonts w:ascii="Arial" w:hAnsi="Arial" w:cs="Arial"/>
          <w:b/>
          <w:bCs/>
          <w:color w:val="000000"/>
          <w:sz w:val="22"/>
          <w:szCs w:val="22"/>
        </w:rPr>
        <w:t>Login</w:t>
      </w:r>
      <w:r>
        <w:rPr>
          <w:rFonts w:ascii="Arial" w:hAnsi="Arial" w:cs="Arial"/>
          <w:color w:val="000000"/>
          <w:sz w:val="22"/>
          <w:szCs w:val="22"/>
        </w:rPr>
        <w:t>: Redirect from Liberty University Library</w:t>
      </w:r>
    </w:p>
    <w:p w14:paraId="21DDA961" w14:textId="77777777" w:rsidR="00FF1C2E" w:rsidRDefault="00FF1C2E" w:rsidP="00FF1C2E">
      <w:pPr>
        <w:pStyle w:val="NormalWeb"/>
        <w:spacing w:before="0" w:beforeAutospacing="0" w:after="160" w:afterAutospacing="0"/>
      </w:pPr>
      <w:r>
        <w:rPr>
          <w:rFonts w:ascii="Arial" w:hAnsi="Arial" w:cs="Arial"/>
          <w:b/>
          <w:bCs/>
          <w:color w:val="000000"/>
          <w:sz w:val="22"/>
          <w:szCs w:val="22"/>
        </w:rPr>
        <w:t>Article Name:</w:t>
      </w:r>
      <w:r>
        <w:rPr>
          <w:rFonts w:ascii="Arial" w:hAnsi="Arial" w:cs="Arial"/>
          <w:color w:val="000000"/>
          <w:sz w:val="22"/>
          <w:szCs w:val="22"/>
        </w:rPr>
        <w:t xml:space="preserve"> Challenges to implementing artificial intelligence in healthcare: a qualitative interview study with healthcare leaders in Sweden</w:t>
      </w:r>
    </w:p>
    <w:p w14:paraId="4FB7B5B8" w14:textId="77777777" w:rsidR="00FF1C2E" w:rsidRDefault="00FF1C2E" w:rsidP="00FF1C2E">
      <w:pPr>
        <w:pStyle w:val="NormalWeb"/>
        <w:spacing w:before="0" w:beforeAutospacing="0" w:after="160" w:afterAutospacing="0"/>
      </w:pPr>
      <w:r>
        <w:rPr>
          <w:rFonts w:ascii="Arial" w:hAnsi="Arial" w:cs="Arial"/>
          <w:b/>
          <w:bCs/>
          <w:color w:val="000000"/>
          <w:sz w:val="22"/>
          <w:szCs w:val="22"/>
        </w:rPr>
        <w:t xml:space="preserve">Journal URL: </w:t>
      </w:r>
      <w:hyperlink r:id="rId21" w:history="1">
        <w:r>
          <w:rPr>
            <w:rStyle w:val="Hyperlink"/>
            <w:rFonts w:ascii="Arial" w:hAnsi="Arial" w:cs="Arial"/>
            <w:color w:val="1155CC"/>
            <w:sz w:val="22"/>
            <w:szCs w:val="22"/>
          </w:rPr>
          <w:t>https://www.proquest.com/docview/2691483972?accountid=12085&amp;pq-origsite=summon&amp;sourcetype=Scholarly%20Journals</w:t>
        </w:r>
      </w:hyperlink>
      <w:r>
        <w:rPr>
          <w:rFonts w:ascii="Arial" w:hAnsi="Arial" w:cs="Arial"/>
          <w:color w:val="000000"/>
          <w:sz w:val="22"/>
          <w:szCs w:val="22"/>
        </w:rPr>
        <w:t> </w:t>
      </w:r>
    </w:p>
    <w:p w14:paraId="55C3389F" w14:textId="77777777" w:rsidR="00FF1C2E" w:rsidRDefault="00FF1C2E" w:rsidP="00FF1C2E">
      <w:pPr>
        <w:pStyle w:val="NormalWeb"/>
        <w:spacing w:before="0" w:beforeAutospacing="0" w:after="160" w:afterAutospacing="0"/>
      </w:pPr>
      <w:r>
        <w:rPr>
          <w:rFonts w:ascii="Arial" w:hAnsi="Arial" w:cs="Arial"/>
          <w:b/>
          <w:bCs/>
          <w:color w:val="000000"/>
          <w:sz w:val="22"/>
          <w:szCs w:val="22"/>
        </w:rPr>
        <w:t xml:space="preserve">Synopsis: </w:t>
      </w:r>
      <w:r>
        <w:rPr>
          <w:rFonts w:ascii="Arial" w:hAnsi="Arial" w:cs="Arial"/>
          <w:color w:val="000000"/>
          <w:sz w:val="22"/>
          <w:szCs w:val="22"/>
        </w:rPr>
        <w:t>Background</w:t>
      </w:r>
    </w:p>
    <w:p w14:paraId="3D60115D" w14:textId="77777777" w:rsidR="00FF1C2E" w:rsidRDefault="00FF1C2E" w:rsidP="00FF1C2E">
      <w:pPr>
        <w:pStyle w:val="NormalWeb"/>
        <w:spacing w:before="0" w:beforeAutospacing="0" w:after="160" w:afterAutospacing="0"/>
      </w:pPr>
      <w:r>
        <w:rPr>
          <w:rFonts w:ascii="Arial" w:hAnsi="Arial" w:cs="Arial"/>
          <w:color w:val="000000"/>
          <w:sz w:val="22"/>
          <w:szCs w:val="22"/>
        </w:rPr>
        <w:t>Artificial intelligence (AI) for healthcare presents potential solutions to some of the challenges faced by health systems around the world. However, it is well established in implementation and innovation research that novel technologies are often resisted by healthcare leaders, which contributes to their slow and variable uptake. Although research on various stakeholders’ perspectives on AI implementation has been undertaken, very few studies have investigated leaders’ perspectives on the issue of AI implementation in healthcare. It is essential to understand the perspectives of healthcare leaders, because they have a key role in the implementation process of new technologies in healthcare. The aim of this study was to explore challenges perceived by leaders in a regional Swedish healthcare setting concerning the implementation of AI in healthcare.</w:t>
      </w:r>
    </w:p>
    <w:p w14:paraId="29870251" w14:textId="77777777" w:rsidR="00FF1C2E" w:rsidRDefault="00FF1C2E" w:rsidP="00FF1C2E">
      <w:pPr>
        <w:pStyle w:val="NormalWeb"/>
        <w:spacing w:before="0" w:beforeAutospacing="0" w:after="160" w:afterAutospacing="0"/>
      </w:pPr>
      <w:r>
        <w:rPr>
          <w:rFonts w:ascii="Arial" w:hAnsi="Arial" w:cs="Arial"/>
          <w:color w:val="000000"/>
          <w:sz w:val="22"/>
          <w:szCs w:val="22"/>
        </w:rPr>
        <w:t>Methods</w:t>
      </w:r>
    </w:p>
    <w:p w14:paraId="3B70959F" w14:textId="77777777" w:rsidR="00FF1C2E" w:rsidRDefault="00FF1C2E" w:rsidP="00FF1C2E">
      <w:pPr>
        <w:pStyle w:val="NormalWeb"/>
        <w:spacing w:before="0" w:beforeAutospacing="0" w:after="160" w:afterAutospacing="0"/>
      </w:pPr>
      <w:r>
        <w:rPr>
          <w:rFonts w:ascii="Arial" w:hAnsi="Arial" w:cs="Arial"/>
          <w:color w:val="000000"/>
          <w:sz w:val="22"/>
          <w:szCs w:val="22"/>
        </w:rPr>
        <w:t>The study takes an explorative qualitative approach. Individual, semi-structured interviews were conducted from October 2020 to May 2021 with 26 healthcare leaders. The analysis was performed using qualitative content analysis, with an inductive approach.</w:t>
      </w:r>
    </w:p>
    <w:p w14:paraId="6928D771" w14:textId="77777777" w:rsidR="00FF1C2E" w:rsidRDefault="00FF1C2E" w:rsidP="00FF1C2E">
      <w:pPr>
        <w:pStyle w:val="NormalWeb"/>
        <w:spacing w:before="0" w:beforeAutospacing="0" w:after="160" w:afterAutospacing="0"/>
      </w:pPr>
      <w:r>
        <w:rPr>
          <w:rFonts w:ascii="Arial" w:hAnsi="Arial" w:cs="Arial"/>
          <w:color w:val="000000"/>
          <w:sz w:val="22"/>
          <w:szCs w:val="22"/>
        </w:rPr>
        <w:t>Results</w:t>
      </w:r>
    </w:p>
    <w:p w14:paraId="5EDDEC5B" w14:textId="77777777" w:rsidR="00FF1C2E" w:rsidRDefault="00FF1C2E" w:rsidP="00FF1C2E">
      <w:pPr>
        <w:pStyle w:val="NormalWeb"/>
        <w:spacing w:before="0" w:beforeAutospacing="0" w:after="160" w:afterAutospacing="0"/>
      </w:pPr>
      <w:r>
        <w:rPr>
          <w:rFonts w:ascii="Arial" w:hAnsi="Arial" w:cs="Arial"/>
          <w:color w:val="000000"/>
          <w:sz w:val="22"/>
          <w:szCs w:val="22"/>
        </w:rPr>
        <w:t>The analysis yielded three categories, representing three types of challenge perceived to be linked with the implementation of AI in healthcare: 1) Conditions external to the healthcare system; 2) Capacity for strategic change management; 3) Transformation of healthcare professions and healthcare practice.</w:t>
      </w:r>
    </w:p>
    <w:p w14:paraId="02C144E4" w14:textId="77777777" w:rsidR="00FF1C2E" w:rsidRDefault="00FF1C2E" w:rsidP="00FF1C2E">
      <w:pPr>
        <w:pStyle w:val="NormalWeb"/>
        <w:spacing w:before="0" w:beforeAutospacing="0" w:after="160" w:afterAutospacing="0"/>
      </w:pPr>
      <w:r>
        <w:rPr>
          <w:rFonts w:ascii="Arial" w:hAnsi="Arial" w:cs="Arial"/>
          <w:color w:val="000000"/>
          <w:sz w:val="22"/>
          <w:szCs w:val="22"/>
        </w:rPr>
        <w:t>Conclusions</w:t>
      </w:r>
    </w:p>
    <w:p w14:paraId="4B7C8C89" w14:textId="77777777" w:rsidR="00FF1C2E" w:rsidRDefault="00FF1C2E" w:rsidP="00FF1C2E">
      <w:pPr>
        <w:pStyle w:val="NormalWeb"/>
        <w:spacing w:before="0" w:beforeAutospacing="0" w:after="160" w:afterAutospacing="0"/>
      </w:pPr>
      <w:r>
        <w:rPr>
          <w:rFonts w:ascii="Arial" w:hAnsi="Arial" w:cs="Arial"/>
          <w:color w:val="000000"/>
          <w:sz w:val="22"/>
          <w:szCs w:val="22"/>
        </w:rPr>
        <w:t xml:space="preserve">In conclusion, healthcare leaders highlighted several implementation challenges in relation to AI within and beyond the healthcare system in general and their </w:t>
      </w:r>
      <w:proofErr w:type="spellStart"/>
      <w:r>
        <w:rPr>
          <w:rFonts w:ascii="Arial" w:hAnsi="Arial" w:cs="Arial"/>
          <w:color w:val="000000"/>
          <w:sz w:val="22"/>
          <w:szCs w:val="22"/>
        </w:rPr>
        <w:t>organisations</w:t>
      </w:r>
      <w:proofErr w:type="spellEnd"/>
      <w:r>
        <w:rPr>
          <w:rFonts w:ascii="Arial" w:hAnsi="Arial" w:cs="Arial"/>
          <w:color w:val="000000"/>
          <w:sz w:val="22"/>
          <w:szCs w:val="22"/>
        </w:rPr>
        <w:t xml:space="preserve"> in particular. The challenges comprised conditions external to the healthcare system, internal capacity for strategic change management, along with transformation of healthcare professions and healthcare practice. The results point to the need to develop implementation strategies across </w:t>
      </w:r>
      <w:r>
        <w:rPr>
          <w:rFonts w:ascii="Arial" w:hAnsi="Arial" w:cs="Arial"/>
          <w:color w:val="000000"/>
          <w:sz w:val="22"/>
          <w:szCs w:val="22"/>
        </w:rPr>
        <w:lastRenderedPageBreak/>
        <w:t xml:space="preserve">healthcare </w:t>
      </w:r>
      <w:proofErr w:type="spellStart"/>
      <w:r>
        <w:rPr>
          <w:rFonts w:ascii="Arial" w:hAnsi="Arial" w:cs="Arial"/>
          <w:color w:val="000000"/>
          <w:sz w:val="22"/>
          <w:szCs w:val="22"/>
        </w:rPr>
        <w:t>organisations</w:t>
      </w:r>
      <w:proofErr w:type="spellEnd"/>
      <w:r>
        <w:rPr>
          <w:rFonts w:ascii="Arial" w:hAnsi="Arial" w:cs="Arial"/>
          <w:color w:val="000000"/>
          <w:sz w:val="22"/>
          <w:szCs w:val="22"/>
        </w:rPr>
        <w:t xml:space="preserve"> to address challenges to AI-specific capacity building. Laws and policies are needed to regulate the design and execution of effective AI implementation strategies. There is a need to invest time and resources in implementation processes, with collaboration across healthcare, county councils, and industry partnerships.</w:t>
      </w:r>
    </w:p>
    <w:p w14:paraId="042835F9" w14:textId="77777777" w:rsidR="00FF1C2E" w:rsidRDefault="00FF1C2E" w:rsidP="00FF1C2E"/>
    <w:p w14:paraId="15AB3F8A" w14:textId="77777777" w:rsidR="00FF1C2E" w:rsidRDefault="00FF1C2E" w:rsidP="00FF1C2E">
      <w:pPr>
        <w:pStyle w:val="NormalWeb"/>
        <w:spacing w:before="0" w:beforeAutospacing="0" w:after="160" w:afterAutospacing="0"/>
      </w:pPr>
      <w:r>
        <w:rPr>
          <w:rFonts w:ascii="Arial" w:hAnsi="Arial" w:cs="Arial"/>
          <w:b/>
          <w:bCs/>
          <w:color w:val="000000"/>
          <w:sz w:val="22"/>
          <w:szCs w:val="22"/>
        </w:rPr>
        <w:t>Article #7</w:t>
      </w:r>
    </w:p>
    <w:p w14:paraId="65B15FCE" w14:textId="77777777" w:rsidR="00FF1C2E" w:rsidRDefault="00FF1C2E" w:rsidP="00FF1C2E">
      <w:pPr>
        <w:pStyle w:val="NormalWeb"/>
        <w:spacing w:before="0" w:beforeAutospacing="0" w:after="160" w:afterAutospacing="0"/>
      </w:pPr>
      <w:r>
        <w:rPr>
          <w:rFonts w:ascii="Arial" w:hAnsi="Arial" w:cs="Arial"/>
          <w:b/>
          <w:bCs/>
          <w:color w:val="000000"/>
          <w:sz w:val="22"/>
          <w:szCs w:val="22"/>
        </w:rPr>
        <w:t>Website</w:t>
      </w:r>
      <w:r>
        <w:rPr>
          <w:rFonts w:ascii="Arial" w:hAnsi="Arial" w:cs="Arial"/>
          <w:color w:val="000000"/>
          <w:sz w:val="22"/>
          <w:szCs w:val="22"/>
        </w:rPr>
        <w:t>: DOAJ</w:t>
      </w:r>
    </w:p>
    <w:p w14:paraId="60B55766" w14:textId="77777777" w:rsidR="00FF1C2E" w:rsidRDefault="00FF1C2E" w:rsidP="00FF1C2E">
      <w:pPr>
        <w:pStyle w:val="NormalWeb"/>
        <w:spacing w:before="0" w:beforeAutospacing="0" w:after="160" w:afterAutospacing="0"/>
      </w:pPr>
      <w:r>
        <w:rPr>
          <w:rFonts w:ascii="Arial" w:hAnsi="Arial" w:cs="Arial"/>
          <w:b/>
          <w:bCs/>
          <w:color w:val="000000"/>
          <w:sz w:val="22"/>
          <w:szCs w:val="22"/>
        </w:rPr>
        <w:t>Login</w:t>
      </w:r>
      <w:r>
        <w:rPr>
          <w:rFonts w:ascii="Arial" w:hAnsi="Arial" w:cs="Arial"/>
          <w:color w:val="000000"/>
          <w:sz w:val="22"/>
          <w:szCs w:val="22"/>
        </w:rPr>
        <w:t>: Open source</w:t>
      </w:r>
    </w:p>
    <w:p w14:paraId="27E6BDAC" w14:textId="77777777" w:rsidR="00FF1C2E" w:rsidRDefault="00FF1C2E" w:rsidP="00FF1C2E">
      <w:pPr>
        <w:pStyle w:val="NormalWeb"/>
        <w:spacing w:before="0" w:beforeAutospacing="0" w:after="160" w:afterAutospacing="0"/>
      </w:pPr>
      <w:r>
        <w:rPr>
          <w:rFonts w:ascii="Arial" w:hAnsi="Arial" w:cs="Arial"/>
          <w:b/>
          <w:bCs/>
          <w:color w:val="000000"/>
          <w:sz w:val="22"/>
          <w:szCs w:val="22"/>
        </w:rPr>
        <w:t>Article Name:</w:t>
      </w:r>
      <w:r>
        <w:rPr>
          <w:rFonts w:ascii="Arial" w:hAnsi="Arial" w:cs="Arial"/>
          <w:color w:val="000000"/>
          <w:sz w:val="22"/>
          <w:szCs w:val="22"/>
        </w:rPr>
        <w:t xml:space="preserve"> A qualitative study of rural healthcare providers’ views of social, cultural, and programmatic barriers to healthcare access </w:t>
      </w:r>
    </w:p>
    <w:p w14:paraId="5A072C40" w14:textId="77777777" w:rsidR="00FF1C2E" w:rsidRDefault="00FF1C2E" w:rsidP="00FF1C2E">
      <w:pPr>
        <w:pStyle w:val="NormalWeb"/>
        <w:spacing w:before="0" w:beforeAutospacing="0" w:after="160" w:afterAutospacing="0"/>
      </w:pPr>
      <w:r>
        <w:rPr>
          <w:rFonts w:ascii="Arial" w:hAnsi="Arial" w:cs="Arial"/>
          <w:b/>
          <w:bCs/>
          <w:color w:val="000000"/>
          <w:sz w:val="22"/>
          <w:szCs w:val="22"/>
        </w:rPr>
        <w:t xml:space="preserve">Journal URL: </w:t>
      </w:r>
      <w:hyperlink r:id="rId22" w:history="1">
        <w:r>
          <w:rPr>
            <w:rStyle w:val="Hyperlink"/>
            <w:rFonts w:ascii="Arial" w:hAnsi="Arial" w:cs="Arial"/>
            <w:color w:val="1155CC"/>
            <w:sz w:val="22"/>
            <w:szCs w:val="22"/>
          </w:rPr>
          <w:t>https://doaj.org/article/fb03a1357d0e43cdb597fb7fd9c92074</w:t>
        </w:r>
      </w:hyperlink>
      <w:r>
        <w:rPr>
          <w:rFonts w:ascii="Arial" w:hAnsi="Arial" w:cs="Arial"/>
          <w:color w:val="000000"/>
          <w:sz w:val="22"/>
          <w:szCs w:val="22"/>
        </w:rPr>
        <w:t> </w:t>
      </w:r>
    </w:p>
    <w:p w14:paraId="60397900" w14:textId="77777777" w:rsidR="00FF1C2E" w:rsidRDefault="00FF1C2E" w:rsidP="00FF1C2E">
      <w:pPr>
        <w:pStyle w:val="NormalWeb"/>
        <w:spacing w:before="0" w:beforeAutospacing="0" w:after="160" w:afterAutospacing="0"/>
      </w:pPr>
      <w:r>
        <w:rPr>
          <w:rFonts w:ascii="Arial" w:hAnsi="Arial" w:cs="Arial"/>
          <w:b/>
          <w:bCs/>
          <w:color w:val="000000"/>
          <w:sz w:val="22"/>
          <w:szCs w:val="22"/>
        </w:rPr>
        <w:t xml:space="preserve">Synopsis: </w:t>
      </w:r>
      <w:r>
        <w:rPr>
          <w:rFonts w:ascii="Arial" w:hAnsi="Arial" w:cs="Arial"/>
          <w:color w:val="000000"/>
          <w:sz w:val="22"/>
          <w:szCs w:val="22"/>
        </w:rPr>
        <w:t>Abstract Background Ensuring access to healthcare is a complex, multi-dimensional health challenge. Since the inception of the coronavirus pandemic, this challenge is more pressing. Some dimensions of access are difficult to quantify, namely characteristics that influence healthcare services to be both acceptable and appropriate. These link to a patient’s acceptance of services that they are to receive and ensuring appropriate fit between services and a patient’s specific healthcare needs. These dimensions of access are particularly evident in rural health systems where additional structural barriers make accessing healthcare more difficult. Thus, it is important to examine healthcare access barriers in rural-specific areas to understand their origin and implications for resolution. Methods We used qualitative methods and a convenience sample of healthcare providers who currently practice in the rural US state of Montana. Our sample included 12 healthcare providers from diverse training backgrounds and specialties. All were decision-makers in the development or revision of patients’ treatment plans. Semi-structured interviews and content analysis were used to explore barriers–appropriateness and acceptability–to healthcare access in their patient populations. Our analysis was both deductive and inductive and focused on three analytic domains: cultural considerations, patient-provider communication, and provider-provider communication. Member checks ensured credibility and trustworthiness of our findings. Results Five key themes emerged from analysis: 1) a friction exists between aspects of patients’ rural identities and healthcare systems; 2) facilitating access to healthcare requires application of and respect for cultural differences; 3) communication between healthcare providers is systematically fragmented; 4) time and resource constraints disproportionately harm rural health systems; and 5) profits are prioritized over addressing barriers to healthcare access in the US. Conclusions Inadequate access to healthcare is an issue in the US, particularly in rural areas. Rural healthcare consumers compose a hard-to-reach patient population. Too few providers exist to meet population health needs, and fragmented communication impairs rural health systems’ ability to function. These issues exacerbate the difficulty of ensuring acceptable and appropriate delivery of healthcare services, which compound all other barriers to healthcare access for rural residents. Each dimension of access must be monitored to improve patient experiences and outcomes for rural Americans.</w:t>
      </w:r>
    </w:p>
    <w:p w14:paraId="17E3E878" w14:textId="77777777" w:rsidR="00FF1C2E" w:rsidRDefault="00FF1C2E" w:rsidP="00FF1C2E"/>
    <w:p w14:paraId="1D59F38D" w14:textId="77777777" w:rsidR="00FF1C2E" w:rsidRDefault="00FF1C2E" w:rsidP="00FF1C2E">
      <w:pPr>
        <w:pStyle w:val="NormalWeb"/>
        <w:spacing w:before="0" w:beforeAutospacing="0" w:after="160" w:afterAutospacing="0"/>
      </w:pPr>
      <w:r>
        <w:rPr>
          <w:rFonts w:ascii="Arial" w:hAnsi="Arial" w:cs="Arial"/>
          <w:b/>
          <w:bCs/>
          <w:color w:val="000000"/>
          <w:sz w:val="22"/>
          <w:szCs w:val="22"/>
        </w:rPr>
        <w:t>Article #8</w:t>
      </w:r>
    </w:p>
    <w:p w14:paraId="1EE1254B" w14:textId="77777777" w:rsidR="00FF1C2E" w:rsidRDefault="00FF1C2E" w:rsidP="00FF1C2E">
      <w:pPr>
        <w:pStyle w:val="NormalWeb"/>
        <w:spacing w:before="0" w:beforeAutospacing="0" w:after="160" w:afterAutospacing="0"/>
      </w:pPr>
      <w:r>
        <w:rPr>
          <w:rFonts w:ascii="Arial" w:hAnsi="Arial" w:cs="Arial"/>
          <w:b/>
          <w:bCs/>
          <w:color w:val="000000"/>
          <w:sz w:val="22"/>
          <w:szCs w:val="22"/>
        </w:rPr>
        <w:t>Website</w:t>
      </w:r>
      <w:r>
        <w:rPr>
          <w:rFonts w:ascii="Arial" w:hAnsi="Arial" w:cs="Arial"/>
          <w:color w:val="000000"/>
          <w:sz w:val="22"/>
          <w:szCs w:val="22"/>
        </w:rPr>
        <w:t>: ProQuest</w:t>
      </w:r>
    </w:p>
    <w:p w14:paraId="3E606325" w14:textId="77777777" w:rsidR="00FF1C2E" w:rsidRDefault="00FF1C2E" w:rsidP="00FF1C2E">
      <w:pPr>
        <w:pStyle w:val="NormalWeb"/>
        <w:spacing w:before="0" w:beforeAutospacing="0" w:after="160" w:afterAutospacing="0"/>
      </w:pPr>
      <w:r>
        <w:rPr>
          <w:rFonts w:ascii="Arial" w:hAnsi="Arial" w:cs="Arial"/>
          <w:b/>
          <w:bCs/>
          <w:color w:val="000000"/>
          <w:sz w:val="22"/>
          <w:szCs w:val="22"/>
        </w:rPr>
        <w:lastRenderedPageBreak/>
        <w:t>Login</w:t>
      </w:r>
      <w:r>
        <w:rPr>
          <w:rFonts w:ascii="Arial" w:hAnsi="Arial" w:cs="Arial"/>
          <w:color w:val="000000"/>
          <w:sz w:val="22"/>
          <w:szCs w:val="22"/>
        </w:rPr>
        <w:t>: Redirect from Liberty University Library</w:t>
      </w:r>
    </w:p>
    <w:p w14:paraId="12C8656D" w14:textId="77777777" w:rsidR="00FF1C2E" w:rsidRDefault="00FF1C2E" w:rsidP="00FF1C2E">
      <w:pPr>
        <w:pStyle w:val="NormalWeb"/>
        <w:spacing w:before="0" w:beforeAutospacing="0" w:after="160" w:afterAutospacing="0"/>
      </w:pPr>
      <w:r>
        <w:rPr>
          <w:rFonts w:ascii="Arial" w:hAnsi="Arial" w:cs="Arial"/>
          <w:b/>
          <w:bCs/>
          <w:color w:val="000000"/>
          <w:sz w:val="22"/>
          <w:szCs w:val="22"/>
        </w:rPr>
        <w:t>Article Name:</w:t>
      </w:r>
      <w:r>
        <w:rPr>
          <w:rFonts w:ascii="Arial" w:hAnsi="Arial" w:cs="Arial"/>
          <w:color w:val="000000"/>
          <w:sz w:val="22"/>
          <w:szCs w:val="22"/>
        </w:rPr>
        <w:t xml:space="preserve"> Migrants’ and refugees’ health status and healthcare in Europe: a scoping literature review </w:t>
      </w:r>
    </w:p>
    <w:p w14:paraId="2CE7B80D" w14:textId="77777777" w:rsidR="00FF1C2E" w:rsidRDefault="00FF1C2E" w:rsidP="00FF1C2E">
      <w:pPr>
        <w:pStyle w:val="NormalWeb"/>
        <w:spacing w:before="0" w:beforeAutospacing="0" w:after="160" w:afterAutospacing="0"/>
      </w:pPr>
      <w:r>
        <w:rPr>
          <w:rFonts w:ascii="Arial" w:hAnsi="Arial" w:cs="Arial"/>
          <w:b/>
          <w:bCs/>
          <w:color w:val="000000"/>
          <w:sz w:val="22"/>
          <w:szCs w:val="22"/>
        </w:rPr>
        <w:t xml:space="preserve">Journal URL: </w:t>
      </w:r>
      <w:hyperlink r:id="rId23" w:history="1">
        <w:r>
          <w:rPr>
            <w:rStyle w:val="Hyperlink"/>
            <w:rFonts w:ascii="Arial" w:hAnsi="Arial" w:cs="Arial"/>
            <w:color w:val="1155CC"/>
            <w:sz w:val="22"/>
            <w:szCs w:val="22"/>
          </w:rPr>
          <w:t>https://www.proquest.com/docview/2424805325?accountid=12085&amp;pq-origsite=summon&amp;sourcetype=Scholarly%20Journals</w:t>
        </w:r>
      </w:hyperlink>
      <w:r>
        <w:rPr>
          <w:rFonts w:ascii="Arial" w:hAnsi="Arial" w:cs="Arial"/>
          <w:color w:val="000000"/>
          <w:sz w:val="22"/>
          <w:szCs w:val="22"/>
        </w:rPr>
        <w:t> </w:t>
      </w:r>
    </w:p>
    <w:p w14:paraId="508CA011" w14:textId="77777777" w:rsidR="00FF1C2E" w:rsidRDefault="00FF1C2E" w:rsidP="00FF1C2E">
      <w:pPr>
        <w:pStyle w:val="NormalWeb"/>
        <w:spacing w:before="0" w:beforeAutospacing="0" w:after="160" w:afterAutospacing="0"/>
      </w:pPr>
      <w:r>
        <w:rPr>
          <w:rFonts w:ascii="Arial" w:hAnsi="Arial" w:cs="Arial"/>
          <w:b/>
          <w:bCs/>
          <w:color w:val="000000"/>
          <w:sz w:val="22"/>
          <w:szCs w:val="22"/>
        </w:rPr>
        <w:t xml:space="preserve">Synopsis: </w:t>
      </w:r>
      <w:r>
        <w:rPr>
          <w:rFonts w:ascii="Arial" w:hAnsi="Arial" w:cs="Arial"/>
          <w:color w:val="000000"/>
          <w:sz w:val="22"/>
          <w:szCs w:val="22"/>
        </w:rPr>
        <w:t>Here is the key takeaway.</w:t>
      </w:r>
    </w:p>
    <w:p w14:paraId="3DE581BF" w14:textId="77777777" w:rsidR="00FF1C2E" w:rsidRDefault="00FF1C2E" w:rsidP="00FF1C2E">
      <w:pPr>
        <w:pStyle w:val="NormalWeb"/>
        <w:spacing w:before="0" w:beforeAutospacing="0" w:after="160" w:afterAutospacing="0"/>
      </w:pPr>
      <w:r>
        <w:rPr>
          <w:rFonts w:ascii="Arial" w:hAnsi="Arial" w:cs="Arial"/>
          <w:color w:val="000000"/>
          <w:sz w:val="22"/>
          <w:szCs w:val="22"/>
        </w:rPr>
        <w:t>Despite aspirations for equitable healthcare, significant inequalities persist between migrants and non-migrants in access to healthcare services across Europe, influenced by legal barriers, economic situations, and cultural competencies.</w:t>
      </w:r>
    </w:p>
    <w:p w14:paraId="28AF4080" w14:textId="77777777" w:rsidR="00FF1C2E" w:rsidRDefault="00FF1C2E" w:rsidP="00FF1C2E">
      <w:pPr>
        <w:pStyle w:val="NormalWeb"/>
        <w:spacing w:before="0" w:beforeAutospacing="0" w:after="160" w:afterAutospacing="0"/>
      </w:pPr>
      <w:r>
        <w:rPr>
          <w:rFonts w:ascii="Arial" w:hAnsi="Arial" w:cs="Arial"/>
          <w:color w:val="000000"/>
          <w:sz w:val="22"/>
          <w:szCs w:val="22"/>
        </w:rPr>
        <w:t>Additional topics discussed include:</w:t>
      </w:r>
    </w:p>
    <w:p w14:paraId="664A263F" w14:textId="77777777" w:rsidR="00FF1C2E" w:rsidRDefault="00FF1C2E" w:rsidP="00FF1C2E">
      <w:pPr>
        <w:pStyle w:val="NormalWeb"/>
        <w:spacing w:before="0" w:beforeAutospacing="0" w:after="160" w:afterAutospacing="0"/>
      </w:pPr>
      <w:r>
        <w:rPr>
          <w:rFonts w:ascii="Arial" w:hAnsi="Arial" w:cs="Arial"/>
          <w:color w:val="000000"/>
          <w:sz w:val="22"/>
          <w:szCs w:val="22"/>
        </w:rPr>
        <w:t>Barriers to healthcare access for undocumented migrants</w:t>
      </w:r>
    </w:p>
    <w:p w14:paraId="45AA1E1F" w14:textId="77777777" w:rsidR="00FF1C2E" w:rsidRDefault="00FF1C2E" w:rsidP="00FF1C2E">
      <w:pPr>
        <w:pStyle w:val="NormalWeb"/>
        <w:spacing w:before="0" w:beforeAutospacing="0" w:after="160" w:afterAutospacing="0"/>
      </w:pPr>
      <w:r>
        <w:rPr>
          <w:rFonts w:ascii="Arial" w:hAnsi="Arial" w:cs="Arial"/>
          <w:color w:val="000000"/>
          <w:sz w:val="22"/>
          <w:szCs w:val="22"/>
        </w:rPr>
        <w:t>Impact of socio-economic conditions on migrant health</w:t>
      </w:r>
    </w:p>
    <w:p w14:paraId="2A525FEF" w14:textId="77777777" w:rsidR="00FF1C2E" w:rsidRDefault="00FF1C2E" w:rsidP="00FF1C2E">
      <w:pPr>
        <w:pStyle w:val="NormalWeb"/>
        <w:spacing w:before="0" w:beforeAutospacing="0" w:after="160" w:afterAutospacing="0"/>
      </w:pPr>
      <w:r>
        <w:rPr>
          <w:rFonts w:ascii="Arial" w:hAnsi="Arial" w:cs="Arial"/>
          <w:color w:val="000000"/>
          <w:sz w:val="22"/>
          <w:szCs w:val="22"/>
        </w:rPr>
        <w:t>Mental health challenges faced by migrants and refugees</w:t>
      </w:r>
    </w:p>
    <w:p w14:paraId="3537110B" w14:textId="77777777" w:rsidR="00FF1C2E" w:rsidRDefault="00FF1C2E" w:rsidP="00FF1C2E">
      <w:pPr>
        <w:pStyle w:val="NormalWeb"/>
        <w:spacing w:before="0" w:beforeAutospacing="0" w:after="160" w:afterAutospacing="0"/>
      </w:pPr>
      <w:r>
        <w:rPr>
          <w:rFonts w:ascii="Arial" w:hAnsi="Arial" w:cs="Arial"/>
          <w:color w:val="000000"/>
          <w:sz w:val="22"/>
          <w:szCs w:val="22"/>
        </w:rPr>
        <w:t>Synopsis and summary</w:t>
      </w:r>
    </w:p>
    <w:p w14:paraId="1C9595D6" w14:textId="77777777" w:rsidR="00FF1C2E" w:rsidRDefault="00FF1C2E" w:rsidP="00FF1C2E">
      <w:pPr>
        <w:pStyle w:val="NormalWeb"/>
        <w:spacing w:before="0" w:beforeAutospacing="0" w:after="160" w:afterAutospacing="0"/>
      </w:pPr>
      <w:r>
        <w:rPr>
          <w:rFonts w:ascii="Arial" w:hAnsi="Arial" w:cs="Arial"/>
          <w:color w:val="000000"/>
          <w:sz w:val="22"/>
          <w:szCs w:val="22"/>
        </w:rPr>
        <w:t>This article is a scoping review of research on migrants’ and refugees’ health status, healthcare access, and healthcare use in nine European countries. It reviewed 77 papers, including academic and grey literature, to map what is known and where the gaps are.</w:t>
      </w:r>
    </w:p>
    <w:p w14:paraId="31A1E71E" w14:textId="77777777" w:rsidR="00FF1C2E" w:rsidRDefault="00FF1C2E" w:rsidP="00FF1C2E">
      <w:pPr>
        <w:pStyle w:val="NormalWeb"/>
        <w:spacing w:before="0" w:beforeAutospacing="0" w:after="160" w:afterAutospacing="0"/>
      </w:pPr>
      <w:r>
        <w:rPr>
          <w:rFonts w:ascii="Arial" w:hAnsi="Arial" w:cs="Arial"/>
          <w:color w:val="000000"/>
          <w:sz w:val="22"/>
          <w:szCs w:val="22"/>
        </w:rPr>
        <w:t>The review says that inequalities still exist between migrants and non-migrants in access to care. It highlights mental health needs, unmet needs in dental and mental care, legal and administrative barriers, language and communication problems, discrimination, and greater use of emergency care with lower use of primary and preventive care. It concludes that better data, clearer definitions, and more attention to migrants’ own views are needed.</w:t>
      </w:r>
    </w:p>
    <w:p w14:paraId="2B2C4277" w14:textId="77777777" w:rsidR="00FF1C2E" w:rsidRDefault="00FF1C2E" w:rsidP="00FF1C2E">
      <w:pPr>
        <w:pStyle w:val="NormalWeb"/>
        <w:spacing w:before="0" w:beforeAutospacing="0" w:after="160" w:afterAutospacing="0"/>
      </w:pPr>
      <w:r>
        <w:rPr>
          <w:rFonts w:ascii="Arial" w:hAnsi="Arial" w:cs="Arial"/>
          <w:color w:val="000000"/>
          <w:sz w:val="22"/>
          <w:szCs w:val="22"/>
        </w:rPr>
        <w:t>Research methodology</w:t>
      </w:r>
    </w:p>
    <w:p w14:paraId="5BFE9D87" w14:textId="77777777" w:rsidR="00FF1C2E" w:rsidRDefault="00FF1C2E" w:rsidP="00FF1C2E">
      <w:pPr>
        <w:pStyle w:val="NormalWeb"/>
        <w:spacing w:before="0" w:beforeAutospacing="0" w:after="160" w:afterAutospacing="0"/>
      </w:pPr>
      <w:r>
        <w:rPr>
          <w:rFonts w:ascii="Arial" w:hAnsi="Arial" w:cs="Arial"/>
          <w:color w:val="000000"/>
          <w:sz w:val="22"/>
          <w:szCs w:val="22"/>
        </w:rPr>
        <w:t>The study used a scoping review design, not a systematic review, because the literature was scattered and fragmented and the topic was still underexplored. It aimed to map existing research rather than assess study quality.</w:t>
      </w:r>
    </w:p>
    <w:p w14:paraId="51EE3D20" w14:textId="77777777" w:rsidR="00FF1C2E" w:rsidRDefault="00FF1C2E" w:rsidP="00FF1C2E">
      <w:pPr>
        <w:pStyle w:val="NormalWeb"/>
        <w:spacing w:before="0" w:beforeAutospacing="0" w:after="160" w:afterAutospacing="0"/>
      </w:pPr>
      <w:r>
        <w:rPr>
          <w:rFonts w:ascii="Arial" w:hAnsi="Arial" w:cs="Arial"/>
          <w:color w:val="000000"/>
          <w:sz w:val="22"/>
          <w:szCs w:val="22"/>
        </w:rPr>
        <w:t xml:space="preserve">The review covered academic and grey literature in eight languages across nine European countries. The search period was 2011 to 2017, and the team searched databases such as PubMed, ScienceDirect, Scopus, </w:t>
      </w:r>
      <w:proofErr w:type="spellStart"/>
      <w:r>
        <w:rPr>
          <w:rFonts w:ascii="Arial" w:hAnsi="Arial" w:cs="Arial"/>
          <w:color w:val="000000"/>
          <w:sz w:val="22"/>
          <w:szCs w:val="22"/>
        </w:rPr>
        <w:t>PsycInfo</w:t>
      </w:r>
      <w:proofErr w:type="spellEnd"/>
      <w:r>
        <w:rPr>
          <w:rFonts w:ascii="Arial" w:hAnsi="Arial" w:cs="Arial"/>
          <w:color w:val="000000"/>
          <w:sz w:val="22"/>
          <w:szCs w:val="22"/>
        </w:rPr>
        <w:t xml:space="preserve">, Social Services Abstracts, Cochrane Library, CABI, plus other sources like Eurostat, OECD, </w:t>
      </w:r>
      <w:proofErr w:type="spellStart"/>
      <w:r>
        <w:rPr>
          <w:rFonts w:ascii="Arial" w:hAnsi="Arial" w:cs="Arial"/>
          <w:color w:val="000000"/>
          <w:sz w:val="22"/>
          <w:szCs w:val="22"/>
        </w:rPr>
        <w:t>Eurofound</w:t>
      </w:r>
      <w:proofErr w:type="spellEnd"/>
      <w:r>
        <w:rPr>
          <w:rFonts w:ascii="Arial" w:hAnsi="Arial" w:cs="Arial"/>
          <w:color w:val="000000"/>
          <w:sz w:val="22"/>
          <w:szCs w:val="22"/>
        </w:rPr>
        <w:t>, and CORDIS.</w:t>
      </w:r>
    </w:p>
    <w:p w14:paraId="3BABE2D8" w14:textId="77777777" w:rsidR="00FF1C2E" w:rsidRDefault="00FF1C2E" w:rsidP="00FF1C2E">
      <w:pPr>
        <w:pStyle w:val="NormalWeb"/>
        <w:spacing w:before="0" w:beforeAutospacing="0" w:after="160" w:afterAutospacing="0"/>
      </w:pPr>
      <w:r>
        <w:rPr>
          <w:rFonts w:ascii="Arial" w:hAnsi="Arial" w:cs="Arial"/>
          <w:color w:val="000000"/>
          <w:sz w:val="22"/>
          <w:szCs w:val="22"/>
        </w:rPr>
        <w:t>The search terms combined concepts for migrants/</w:t>
      </w:r>
      <w:proofErr w:type="gramStart"/>
      <w:r>
        <w:rPr>
          <w:rFonts w:ascii="Arial" w:hAnsi="Arial" w:cs="Arial"/>
          <w:color w:val="000000"/>
          <w:sz w:val="22"/>
          <w:szCs w:val="22"/>
        </w:rPr>
        <w:t>refugees</w:t>
      </w:r>
      <w:proofErr w:type="gramEnd"/>
      <w:r>
        <w:rPr>
          <w:rFonts w:ascii="Arial" w:hAnsi="Arial" w:cs="Arial"/>
          <w:color w:val="000000"/>
          <w:sz w:val="22"/>
          <w:szCs w:val="22"/>
        </w:rPr>
        <w:t>/asylum seekers, services/access, and health/medical care. The review included 77 papers, and the sources were coded thematically into areas such as health status, social determinants, access to healthcare, use of healthcare, and challenges in transfer countries.</w:t>
      </w:r>
    </w:p>
    <w:p w14:paraId="4C2A59BA" w14:textId="77777777" w:rsidR="00FF1C2E" w:rsidRDefault="00FF1C2E" w:rsidP="00FF1C2E">
      <w:pPr>
        <w:pStyle w:val="NormalWeb"/>
        <w:spacing w:before="0" w:beforeAutospacing="0" w:after="160" w:afterAutospacing="0"/>
      </w:pPr>
      <w:r>
        <w:rPr>
          <w:rFonts w:ascii="Arial" w:hAnsi="Arial" w:cs="Arial"/>
          <w:color w:val="000000"/>
          <w:sz w:val="22"/>
          <w:szCs w:val="22"/>
        </w:rPr>
        <w:t>Theme organization</w:t>
      </w:r>
    </w:p>
    <w:p w14:paraId="0FC10592" w14:textId="77777777" w:rsidR="00FF1C2E" w:rsidRDefault="00FF1C2E" w:rsidP="00FF1C2E">
      <w:pPr>
        <w:pStyle w:val="NormalWeb"/>
        <w:spacing w:before="0" w:beforeAutospacing="0" w:after="160" w:afterAutospacing="0"/>
      </w:pPr>
      <w:r>
        <w:rPr>
          <w:rFonts w:ascii="Arial" w:hAnsi="Arial" w:cs="Arial"/>
          <w:color w:val="000000"/>
          <w:sz w:val="22"/>
          <w:szCs w:val="22"/>
        </w:rPr>
        <w:t xml:space="preserve">The authors grouped the included sources into major themes and subthemes after coding them thematically. The main themes </w:t>
      </w:r>
      <w:proofErr w:type="gramStart"/>
      <w:r>
        <w:rPr>
          <w:rFonts w:ascii="Arial" w:hAnsi="Arial" w:cs="Arial"/>
          <w:color w:val="000000"/>
          <w:sz w:val="22"/>
          <w:szCs w:val="22"/>
        </w:rPr>
        <w:t>were:</w:t>
      </w:r>
      <w:proofErr w:type="gramEnd"/>
      <w:r>
        <w:rPr>
          <w:rFonts w:ascii="Arial" w:hAnsi="Arial" w:cs="Arial"/>
          <w:color w:val="000000"/>
          <w:sz w:val="22"/>
          <w:szCs w:val="22"/>
        </w:rPr>
        <w:t xml:space="preserve"> migrants’ health status, social determinants of health, access to healthcare, use of healthcare service, and challenges to healthcare provision in transfer countries.</w:t>
      </w:r>
    </w:p>
    <w:p w14:paraId="7AFF7313" w14:textId="77777777" w:rsidR="00FF1C2E" w:rsidRDefault="00FF1C2E" w:rsidP="00FF1C2E">
      <w:pPr>
        <w:pStyle w:val="NormalWeb"/>
        <w:spacing w:before="0" w:beforeAutospacing="0" w:after="160" w:afterAutospacing="0"/>
      </w:pPr>
      <w:r>
        <w:rPr>
          <w:rFonts w:ascii="Arial" w:hAnsi="Arial" w:cs="Arial"/>
          <w:color w:val="000000"/>
          <w:sz w:val="22"/>
          <w:szCs w:val="22"/>
        </w:rPr>
        <w:lastRenderedPageBreak/>
        <w:t>The health status theme was split into communicable and non-communicable diseases, mental health in adult refugees and migrants, and children’s health status. The access to healthcare theme included access to maternal health services and communication and information issues.</w:t>
      </w:r>
    </w:p>
    <w:p w14:paraId="34EE9338" w14:textId="77777777" w:rsidR="00FF1C2E" w:rsidRDefault="00FF1C2E" w:rsidP="00FF1C2E">
      <w:pPr>
        <w:pStyle w:val="NormalWeb"/>
        <w:spacing w:before="0" w:beforeAutospacing="0" w:after="160" w:afterAutospacing="0"/>
      </w:pPr>
      <w:r>
        <w:rPr>
          <w:rFonts w:ascii="Arial" w:hAnsi="Arial" w:cs="Arial"/>
          <w:color w:val="000000"/>
          <w:sz w:val="22"/>
          <w:szCs w:val="22"/>
        </w:rPr>
        <w:t xml:space="preserve">The authors say this final classification was discussed and validated by the </w:t>
      </w:r>
      <w:proofErr w:type="spellStart"/>
      <w:r>
        <w:rPr>
          <w:rFonts w:ascii="Arial" w:hAnsi="Arial" w:cs="Arial"/>
          <w:color w:val="000000"/>
          <w:sz w:val="22"/>
          <w:szCs w:val="22"/>
        </w:rPr>
        <w:t>MigHealthCare</w:t>
      </w:r>
      <w:proofErr w:type="spellEnd"/>
      <w:r>
        <w:rPr>
          <w:rFonts w:ascii="Arial" w:hAnsi="Arial" w:cs="Arial"/>
          <w:color w:val="000000"/>
          <w:sz w:val="22"/>
          <w:szCs w:val="22"/>
        </w:rPr>
        <w:t xml:space="preserve"> consortium members.</w:t>
      </w:r>
    </w:p>
    <w:p w14:paraId="3F9293CD" w14:textId="77777777" w:rsidR="00FF1C2E" w:rsidRDefault="00FF1C2E" w:rsidP="00FF1C2E"/>
    <w:p w14:paraId="753CEBBF" w14:textId="77777777" w:rsidR="00FF1C2E" w:rsidRDefault="00FF1C2E" w:rsidP="00FF1C2E">
      <w:pPr>
        <w:pStyle w:val="NormalWeb"/>
        <w:spacing w:before="0" w:beforeAutospacing="0" w:after="160" w:afterAutospacing="0"/>
      </w:pPr>
      <w:r>
        <w:rPr>
          <w:rFonts w:ascii="Arial" w:hAnsi="Arial" w:cs="Arial"/>
          <w:b/>
          <w:bCs/>
          <w:color w:val="000000"/>
          <w:sz w:val="22"/>
          <w:szCs w:val="22"/>
        </w:rPr>
        <w:t>Article #9</w:t>
      </w:r>
    </w:p>
    <w:p w14:paraId="3D2CFB25" w14:textId="77777777" w:rsidR="00FF1C2E" w:rsidRDefault="00FF1C2E" w:rsidP="00FF1C2E">
      <w:pPr>
        <w:pStyle w:val="NormalWeb"/>
        <w:spacing w:before="0" w:beforeAutospacing="0" w:after="160" w:afterAutospacing="0"/>
      </w:pPr>
      <w:r>
        <w:rPr>
          <w:rFonts w:ascii="Arial" w:hAnsi="Arial" w:cs="Arial"/>
          <w:b/>
          <w:bCs/>
          <w:color w:val="000000"/>
          <w:sz w:val="22"/>
          <w:szCs w:val="22"/>
        </w:rPr>
        <w:t>Website</w:t>
      </w:r>
      <w:r>
        <w:rPr>
          <w:rFonts w:ascii="Arial" w:hAnsi="Arial" w:cs="Arial"/>
          <w:color w:val="000000"/>
          <w:sz w:val="22"/>
          <w:szCs w:val="22"/>
        </w:rPr>
        <w:t>: ScienceDirect.com</w:t>
      </w:r>
    </w:p>
    <w:p w14:paraId="01AB7E8E" w14:textId="77777777" w:rsidR="00FF1C2E" w:rsidRDefault="00FF1C2E" w:rsidP="00FF1C2E">
      <w:pPr>
        <w:pStyle w:val="NormalWeb"/>
        <w:spacing w:before="0" w:beforeAutospacing="0" w:after="160" w:afterAutospacing="0"/>
      </w:pPr>
      <w:r>
        <w:rPr>
          <w:rFonts w:ascii="Arial" w:hAnsi="Arial" w:cs="Arial"/>
          <w:b/>
          <w:bCs/>
          <w:color w:val="000000"/>
          <w:sz w:val="22"/>
          <w:szCs w:val="22"/>
        </w:rPr>
        <w:t>Login</w:t>
      </w:r>
      <w:r>
        <w:rPr>
          <w:rFonts w:ascii="Arial" w:hAnsi="Arial" w:cs="Arial"/>
          <w:color w:val="000000"/>
          <w:sz w:val="22"/>
          <w:szCs w:val="22"/>
        </w:rPr>
        <w:t>: Liberty University access (</w:t>
      </w:r>
      <w:proofErr w:type="spellStart"/>
      <w:r>
        <w:rPr>
          <w:rFonts w:ascii="Arial" w:hAnsi="Arial" w:cs="Arial"/>
          <w:color w:val="000000"/>
          <w:sz w:val="22"/>
          <w:szCs w:val="22"/>
        </w:rPr>
        <w:t>mpmusician</w:t>
      </w:r>
      <w:proofErr w:type="spellEnd"/>
      <w:r>
        <w:rPr>
          <w:rFonts w:ascii="Arial" w:hAnsi="Arial" w:cs="Arial"/>
          <w:color w:val="000000"/>
          <w:sz w:val="22"/>
          <w:szCs w:val="22"/>
        </w:rPr>
        <w:t xml:space="preserve"> login)</w:t>
      </w:r>
    </w:p>
    <w:p w14:paraId="2B22C556" w14:textId="77777777" w:rsidR="00FF1C2E" w:rsidRDefault="00FF1C2E" w:rsidP="00FF1C2E">
      <w:pPr>
        <w:pStyle w:val="NormalWeb"/>
        <w:spacing w:before="0" w:beforeAutospacing="0" w:after="160" w:afterAutospacing="0"/>
      </w:pPr>
      <w:r>
        <w:rPr>
          <w:rFonts w:ascii="Arial" w:hAnsi="Arial" w:cs="Arial"/>
          <w:b/>
          <w:bCs/>
          <w:color w:val="000000"/>
          <w:sz w:val="22"/>
          <w:szCs w:val="22"/>
        </w:rPr>
        <w:t>Article Name:</w:t>
      </w:r>
      <w:r>
        <w:rPr>
          <w:rFonts w:ascii="Arial" w:hAnsi="Arial" w:cs="Arial"/>
          <w:color w:val="000000"/>
          <w:sz w:val="22"/>
          <w:szCs w:val="22"/>
        </w:rPr>
        <w:t xml:space="preserve"> Frontline healthcare providers’ </w:t>
      </w:r>
      <w:proofErr w:type="spellStart"/>
      <w:r>
        <w:rPr>
          <w:rFonts w:ascii="Arial" w:hAnsi="Arial" w:cs="Arial"/>
          <w:color w:val="000000"/>
          <w:sz w:val="22"/>
          <w:szCs w:val="22"/>
        </w:rPr>
        <w:t>behavioural</w:t>
      </w:r>
      <w:proofErr w:type="spellEnd"/>
      <w:r>
        <w:rPr>
          <w:rFonts w:ascii="Arial" w:hAnsi="Arial" w:cs="Arial"/>
          <w:color w:val="000000"/>
          <w:sz w:val="22"/>
          <w:szCs w:val="22"/>
        </w:rPr>
        <w:t xml:space="preserve"> intention to Internet of Things (IoT)-enabled healthcare applications: A gender-based, cross-generational study</w:t>
      </w:r>
    </w:p>
    <w:p w14:paraId="6FF92D1D" w14:textId="77777777" w:rsidR="00FF1C2E" w:rsidRDefault="00FF1C2E" w:rsidP="00FF1C2E">
      <w:pPr>
        <w:pStyle w:val="NormalWeb"/>
        <w:spacing w:before="0" w:beforeAutospacing="0" w:after="160" w:afterAutospacing="0"/>
      </w:pPr>
      <w:r>
        <w:rPr>
          <w:rFonts w:ascii="Arial" w:hAnsi="Arial" w:cs="Arial"/>
          <w:b/>
          <w:bCs/>
          <w:color w:val="000000"/>
          <w:sz w:val="22"/>
          <w:szCs w:val="22"/>
        </w:rPr>
        <w:t xml:space="preserve">Journal URL: </w:t>
      </w:r>
      <w:hyperlink r:id="rId24" w:history="1">
        <w:r>
          <w:rPr>
            <w:rStyle w:val="Hyperlink"/>
            <w:rFonts w:ascii="Arial" w:hAnsi="Arial" w:cs="Arial"/>
            <w:color w:val="1155CC"/>
            <w:sz w:val="22"/>
            <w:szCs w:val="22"/>
          </w:rPr>
          <w:t>https://www.sciencedirect.com/science/article/pii/S0040162521006909?via%3Dihub</w:t>
        </w:r>
      </w:hyperlink>
      <w:r>
        <w:rPr>
          <w:rFonts w:ascii="Arial" w:hAnsi="Arial" w:cs="Arial"/>
          <w:color w:val="000000"/>
          <w:sz w:val="22"/>
          <w:szCs w:val="22"/>
        </w:rPr>
        <w:t> </w:t>
      </w:r>
    </w:p>
    <w:p w14:paraId="45449D35" w14:textId="77777777" w:rsidR="00FF1C2E" w:rsidRDefault="00FF1C2E" w:rsidP="00FF1C2E">
      <w:pPr>
        <w:pStyle w:val="NormalWeb"/>
        <w:spacing w:before="0" w:beforeAutospacing="0" w:after="160" w:afterAutospacing="0"/>
      </w:pPr>
      <w:r>
        <w:rPr>
          <w:rFonts w:ascii="Arial" w:hAnsi="Arial" w:cs="Arial"/>
          <w:b/>
          <w:bCs/>
          <w:color w:val="000000"/>
          <w:sz w:val="22"/>
          <w:szCs w:val="22"/>
        </w:rPr>
        <w:t xml:space="preserve">Synopsis: </w:t>
      </w:r>
      <w:r>
        <w:rPr>
          <w:rFonts w:ascii="Arial" w:hAnsi="Arial" w:cs="Arial"/>
          <w:color w:val="000000"/>
          <w:sz w:val="22"/>
          <w:szCs w:val="22"/>
        </w:rPr>
        <w:t xml:space="preserve">This study examines gender and generational differences in frontline healthcare providers' (FHPs) behavioral intentions toward IoT-enabled healthcare applications 1. The research addresses a gap in literature by analyzing how privacy, security, trust, and risk perception influence adoption intentions across multicultural Gen X and Gen Y healthcare </w:t>
      </w:r>
      <w:proofErr w:type="gramStart"/>
      <w:r>
        <w:rPr>
          <w:rFonts w:ascii="Arial" w:hAnsi="Arial" w:cs="Arial"/>
          <w:color w:val="000000"/>
          <w:sz w:val="22"/>
          <w:szCs w:val="22"/>
        </w:rPr>
        <w:t>workers .</w:t>
      </w:r>
      <w:proofErr w:type="gramEnd"/>
    </w:p>
    <w:p w14:paraId="744FD4D7" w14:textId="77777777" w:rsidR="00FF1C2E" w:rsidRDefault="00FF1C2E" w:rsidP="00FF1C2E"/>
    <w:p w14:paraId="35A52D19" w14:textId="77777777" w:rsidR="00FF1C2E" w:rsidRDefault="00FF1C2E" w:rsidP="00FF1C2E">
      <w:pPr>
        <w:pStyle w:val="NormalWeb"/>
        <w:spacing w:before="0" w:beforeAutospacing="0" w:after="160" w:afterAutospacing="0"/>
      </w:pPr>
      <w:r>
        <w:rPr>
          <w:rFonts w:ascii="Arial" w:hAnsi="Arial" w:cs="Arial"/>
          <w:color w:val="000000"/>
          <w:sz w:val="22"/>
          <w:szCs w:val="22"/>
        </w:rPr>
        <w:t>Key Methodology</w:t>
      </w:r>
    </w:p>
    <w:p w14:paraId="1CBFEEA0" w14:textId="77777777" w:rsidR="00FF1C2E" w:rsidRDefault="00FF1C2E" w:rsidP="00FF1C2E">
      <w:pPr>
        <w:pStyle w:val="NormalWeb"/>
        <w:spacing w:before="0" w:beforeAutospacing="0" w:after="160" w:afterAutospacing="0"/>
      </w:pPr>
      <w:r>
        <w:rPr>
          <w:rFonts w:ascii="Arial" w:hAnsi="Arial" w:cs="Arial"/>
          <w:color w:val="000000"/>
          <w:sz w:val="22"/>
          <w:szCs w:val="22"/>
        </w:rPr>
        <w:t>The study used a novel theoretical model combining Theory of Planned Behavior (TPB), Privacy Calculus Theory (PCT), and trust-risk framework. Data from 401 participants was analyzed using Partial Least Squares Multi-Group Analysis (PLS-MGA</w:t>
      </w:r>
      <w:proofErr w:type="gramStart"/>
      <w:r>
        <w:rPr>
          <w:rFonts w:ascii="Arial" w:hAnsi="Arial" w:cs="Arial"/>
          <w:color w:val="000000"/>
          <w:sz w:val="22"/>
          <w:szCs w:val="22"/>
        </w:rPr>
        <w:t>) .</w:t>
      </w:r>
      <w:proofErr w:type="gramEnd"/>
    </w:p>
    <w:p w14:paraId="0A32421A" w14:textId="77777777" w:rsidR="00FF1C2E" w:rsidRDefault="00FF1C2E" w:rsidP="00FF1C2E"/>
    <w:p w14:paraId="451E87FB" w14:textId="77777777" w:rsidR="00FF1C2E" w:rsidRDefault="00FF1C2E" w:rsidP="00FF1C2E">
      <w:pPr>
        <w:pStyle w:val="NormalWeb"/>
        <w:spacing w:before="0" w:beforeAutospacing="0" w:after="160" w:afterAutospacing="0"/>
      </w:pPr>
      <w:r>
        <w:rPr>
          <w:rFonts w:ascii="Arial" w:hAnsi="Arial" w:cs="Arial"/>
          <w:color w:val="000000"/>
          <w:sz w:val="22"/>
          <w:szCs w:val="22"/>
        </w:rPr>
        <w:t>Main Findings</w:t>
      </w:r>
    </w:p>
    <w:p w14:paraId="3F538C4A" w14:textId="77777777" w:rsidR="00FF1C2E" w:rsidRDefault="00FF1C2E" w:rsidP="00FF1C2E">
      <w:pPr>
        <w:pStyle w:val="NormalWeb"/>
        <w:spacing w:before="0" w:beforeAutospacing="0" w:after="160" w:afterAutospacing="0"/>
      </w:pPr>
      <w:r>
        <w:rPr>
          <w:rFonts w:ascii="Arial" w:hAnsi="Arial" w:cs="Arial"/>
          <w:color w:val="000000"/>
          <w:sz w:val="22"/>
          <w:szCs w:val="22"/>
        </w:rPr>
        <w:t>Gen X showed no gender differences in behavioral intentions toward IoT healthcare applications</w:t>
      </w:r>
    </w:p>
    <w:p w14:paraId="0339C023" w14:textId="77777777" w:rsidR="00FF1C2E" w:rsidRDefault="00FF1C2E" w:rsidP="00FF1C2E">
      <w:pPr>
        <w:pStyle w:val="NormalWeb"/>
        <w:spacing w:before="0" w:beforeAutospacing="0" w:after="160" w:afterAutospacing="0"/>
      </w:pPr>
      <w:r>
        <w:rPr>
          <w:rFonts w:ascii="Arial" w:hAnsi="Arial" w:cs="Arial"/>
          <w:color w:val="000000"/>
          <w:sz w:val="22"/>
          <w:szCs w:val="22"/>
        </w:rPr>
        <w:t>Gen Y exhibited significant gender differences, particularly in how attitude affects behavioral intention, risk perception influences attitude, and trust impacts risk perception.</w:t>
      </w:r>
    </w:p>
    <w:p w14:paraId="598CBC9B" w14:textId="77777777" w:rsidR="00FF1C2E" w:rsidRDefault="00FF1C2E" w:rsidP="00FF1C2E">
      <w:pPr>
        <w:pStyle w:val="NormalWeb"/>
        <w:spacing w:before="0" w:beforeAutospacing="0" w:after="160" w:afterAutospacing="0"/>
      </w:pPr>
      <w:r>
        <w:rPr>
          <w:rFonts w:ascii="Arial" w:hAnsi="Arial" w:cs="Arial"/>
          <w:color w:val="000000"/>
          <w:sz w:val="22"/>
          <w:szCs w:val="22"/>
        </w:rPr>
        <w:t>Risk perception had little effect on behavioral intentions across both generations, contrary to expectations.</w:t>
      </w:r>
    </w:p>
    <w:p w14:paraId="072C6181" w14:textId="77777777" w:rsidR="00FF1C2E" w:rsidRDefault="00FF1C2E" w:rsidP="00FF1C2E">
      <w:pPr>
        <w:pStyle w:val="NormalWeb"/>
        <w:spacing w:before="0" w:beforeAutospacing="0" w:after="160" w:afterAutospacing="0"/>
      </w:pPr>
      <w:r>
        <w:rPr>
          <w:rFonts w:ascii="Arial" w:hAnsi="Arial" w:cs="Arial"/>
          <w:color w:val="000000"/>
          <w:sz w:val="22"/>
          <w:szCs w:val="22"/>
        </w:rPr>
        <w:t>Perceived behavioral control was significant for all participants regardless of gender or generation.</w:t>
      </w:r>
    </w:p>
    <w:p w14:paraId="4CA53827" w14:textId="77777777" w:rsidR="00FF1C2E" w:rsidRDefault="00FF1C2E" w:rsidP="00FF1C2E">
      <w:pPr>
        <w:pStyle w:val="NormalWeb"/>
        <w:spacing w:before="0" w:beforeAutospacing="0" w:after="160" w:afterAutospacing="0"/>
      </w:pPr>
      <w:r>
        <w:rPr>
          <w:rFonts w:ascii="Arial" w:hAnsi="Arial" w:cs="Arial"/>
          <w:color w:val="000000"/>
          <w:sz w:val="22"/>
          <w:szCs w:val="22"/>
        </w:rPr>
        <w:t>The findings should guide institutional policy and application development for IoT healthcare technologies.</w:t>
      </w:r>
    </w:p>
    <w:p w14:paraId="79680309" w14:textId="77777777" w:rsidR="00FF1C2E" w:rsidRDefault="00FF1C2E" w:rsidP="00FF1C2E"/>
    <w:p w14:paraId="26496C6D" w14:textId="77777777" w:rsidR="00FF1C2E" w:rsidRDefault="00FF1C2E" w:rsidP="00FF1C2E">
      <w:pPr>
        <w:pStyle w:val="NormalWeb"/>
        <w:spacing w:before="0" w:beforeAutospacing="0" w:after="160" w:afterAutospacing="0"/>
      </w:pPr>
      <w:r>
        <w:rPr>
          <w:rFonts w:ascii="Arial" w:hAnsi="Arial" w:cs="Arial"/>
          <w:b/>
          <w:bCs/>
          <w:color w:val="000000"/>
          <w:sz w:val="22"/>
          <w:szCs w:val="22"/>
        </w:rPr>
        <w:t>Article #10</w:t>
      </w:r>
    </w:p>
    <w:p w14:paraId="69D16AAF" w14:textId="77777777" w:rsidR="00FF1C2E" w:rsidRDefault="00FF1C2E" w:rsidP="00FF1C2E">
      <w:pPr>
        <w:pStyle w:val="NormalWeb"/>
        <w:spacing w:before="0" w:beforeAutospacing="0" w:after="160" w:afterAutospacing="0"/>
      </w:pPr>
      <w:r>
        <w:rPr>
          <w:rFonts w:ascii="Arial" w:hAnsi="Arial" w:cs="Arial"/>
          <w:b/>
          <w:bCs/>
          <w:color w:val="000000"/>
          <w:sz w:val="22"/>
          <w:szCs w:val="22"/>
        </w:rPr>
        <w:lastRenderedPageBreak/>
        <w:t>Website</w:t>
      </w:r>
      <w:r>
        <w:rPr>
          <w:rFonts w:ascii="Arial" w:hAnsi="Arial" w:cs="Arial"/>
          <w:color w:val="000000"/>
          <w:sz w:val="22"/>
          <w:szCs w:val="22"/>
        </w:rPr>
        <w:t>: ScienceDirect.com</w:t>
      </w:r>
    </w:p>
    <w:p w14:paraId="21F6BAA8" w14:textId="77777777" w:rsidR="00FF1C2E" w:rsidRDefault="00FF1C2E" w:rsidP="00FF1C2E">
      <w:pPr>
        <w:pStyle w:val="NormalWeb"/>
        <w:spacing w:before="0" w:beforeAutospacing="0" w:after="160" w:afterAutospacing="0"/>
      </w:pPr>
      <w:r>
        <w:rPr>
          <w:rFonts w:ascii="Arial" w:hAnsi="Arial" w:cs="Arial"/>
          <w:b/>
          <w:bCs/>
          <w:color w:val="000000"/>
          <w:sz w:val="22"/>
          <w:szCs w:val="22"/>
        </w:rPr>
        <w:t>Login</w:t>
      </w:r>
      <w:r>
        <w:rPr>
          <w:rFonts w:ascii="Arial" w:hAnsi="Arial" w:cs="Arial"/>
          <w:color w:val="000000"/>
          <w:sz w:val="22"/>
          <w:szCs w:val="22"/>
        </w:rPr>
        <w:t>: Liberty University access (</w:t>
      </w:r>
      <w:proofErr w:type="spellStart"/>
      <w:r>
        <w:rPr>
          <w:rFonts w:ascii="Arial" w:hAnsi="Arial" w:cs="Arial"/>
          <w:color w:val="000000"/>
          <w:sz w:val="22"/>
          <w:szCs w:val="22"/>
        </w:rPr>
        <w:t>mpmusician</w:t>
      </w:r>
      <w:proofErr w:type="spellEnd"/>
      <w:r>
        <w:rPr>
          <w:rFonts w:ascii="Arial" w:hAnsi="Arial" w:cs="Arial"/>
          <w:color w:val="000000"/>
          <w:sz w:val="22"/>
          <w:szCs w:val="22"/>
        </w:rPr>
        <w:t xml:space="preserve"> login)</w:t>
      </w:r>
    </w:p>
    <w:p w14:paraId="116374E8" w14:textId="77777777" w:rsidR="00FF1C2E" w:rsidRDefault="00FF1C2E" w:rsidP="00FF1C2E">
      <w:pPr>
        <w:pStyle w:val="NormalWeb"/>
        <w:spacing w:before="0" w:beforeAutospacing="0" w:after="160" w:afterAutospacing="0"/>
      </w:pPr>
      <w:r>
        <w:rPr>
          <w:rFonts w:ascii="Arial" w:hAnsi="Arial" w:cs="Arial"/>
          <w:b/>
          <w:bCs/>
          <w:color w:val="000000"/>
          <w:sz w:val="22"/>
          <w:szCs w:val="22"/>
        </w:rPr>
        <w:t>Article Name:</w:t>
      </w:r>
      <w:r>
        <w:rPr>
          <w:rFonts w:ascii="Arial" w:hAnsi="Arial" w:cs="Arial"/>
          <w:color w:val="000000"/>
          <w:sz w:val="22"/>
          <w:szCs w:val="22"/>
        </w:rPr>
        <w:t xml:space="preserve"> Digitalization of the healthcare supply chain: A roadmap to generate benefits and effectively support healthcare delivery</w:t>
      </w:r>
    </w:p>
    <w:p w14:paraId="2F88B2C3" w14:textId="77777777" w:rsidR="00FF1C2E" w:rsidRDefault="00FF1C2E" w:rsidP="00FF1C2E">
      <w:pPr>
        <w:pStyle w:val="NormalWeb"/>
        <w:spacing w:before="0" w:beforeAutospacing="0" w:after="160" w:afterAutospacing="0"/>
      </w:pPr>
      <w:r>
        <w:rPr>
          <w:rFonts w:ascii="Arial" w:hAnsi="Arial" w:cs="Arial"/>
          <w:b/>
          <w:bCs/>
          <w:color w:val="000000"/>
          <w:sz w:val="22"/>
          <w:szCs w:val="22"/>
        </w:rPr>
        <w:t xml:space="preserve">Journal URL: </w:t>
      </w:r>
      <w:hyperlink r:id="rId25" w:history="1">
        <w:r>
          <w:rPr>
            <w:rStyle w:val="Hyperlink"/>
            <w:rFonts w:ascii="Arial" w:hAnsi="Arial" w:cs="Arial"/>
            <w:color w:val="1155CC"/>
            <w:sz w:val="22"/>
            <w:szCs w:val="22"/>
          </w:rPr>
          <w:t>https://www.sciencedirect.com/science/article/abs/pii/S0040162521001499?via%3Dihub</w:t>
        </w:r>
      </w:hyperlink>
      <w:r>
        <w:rPr>
          <w:rFonts w:ascii="Arial" w:hAnsi="Arial" w:cs="Arial"/>
          <w:color w:val="000000"/>
          <w:sz w:val="22"/>
          <w:szCs w:val="22"/>
        </w:rPr>
        <w:t> </w:t>
      </w:r>
    </w:p>
    <w:p w14:paraId="2A3EAB72" w14:textId="77777777" w:rsidR="00FF1C2E" w:rsidRDefault="00FF1C2E" w:rsidP="00FF1C2E">
      <w:pPr>
        <w:pStyle w:val="NormalWeb"/>
        <w:spacing w:before="0" w:beforeAutospacing="0" w:after="160" w:afterAutospacing="0"/>
      </w:pPr>
      <w:r>
        <w:rPr>
          <w:rFonts w:ascii="Arial" w:hAnsi="Arial" w:cs="Arial"/>
          <w:b/>
          <w:bCs/>
          <w:color w:val="000000"/>
          <w:sz w:val="22"/>
          <w:szCs w:val="22"/>
        </w:rPr>
        <w:t xml:space="preserve">Synopsis: </w:t>
      </w:r>
      <w:r>
        <w:rPr>
          <w:rFonts w:ascii="Arial" w:hAnsi="Arial" w:cs="Arial"/>
          <w:color w:val="000000"/>
          <w:sz w:val="22"/>
          <w:szCs w:val="22"/>
        </w:rPr>
        <w:t>Highlights</w:t>
      </w:r>
    </w:p>
    <w:p w14:paraId="41440EA1" w14:textId="77777777" w:rsidR="00FF1C2E" w:rsidRDefault="00FF1C2E" w:rsidP="00FF1C2E">
      <w:pPr>
        <w:pStyle w:val="NormalWeb"/>
        <w:spacing w:before="0" w:beforeAutospacing="0" w:after="160" w:afterAutospacing="0"/>
      </w:pPr>
      <w:r>
        <w:rPr>
          <w:rFonts w:ascii="Arial" w:hAnsi="Arial" w:cs="Arial"/>
          <w:color w:val="000000"/>
          <w:sz w:val="22"/>
          <w:szCs w:val="22"/>
        </w:rPr>
        <w:t>We suggest a roadmap for digitalization to improve the performance of the healthcare supply chain.</w:t>
      </w:r>
    </w:p>
    <w:p w14:paraId="6AF204A3" w14:textId="77777777" w:rsidR="00FF1C2E" w:rsidRDefault="00FF1C2E" w:rsidP="00FF1C2E">
      <w:pPr>
        <w:pStyle w:val="NormalWeb"/>
        <w:spacing w:before="0" w:beforeAutospacing="0" w:after="160" w:afterAutospacing="0"/>
      </w:pPr>
      <w:r>
        <w:rPr>
          <w:rFonts w:ascii="Arial" w:hAnsi="Arial" w:cs="Arial"/>
          <w:color w:val="000000"/>
          <w:sz w:val="22"/>
          <w:szCs w:val="22"/>
        </w:rPr>
        <w:t>We propose a structured digitalization in terms of efforts required and impacts on the healthcare supply chain.</w:t>
      </w:r>
    </w:p>
    <w:p w14:paraId="61A8CC5C" w14:textId="77777777" w:rsidR="00FF1C2E" w:rsidRDefault="00FF1C2E" w:rsidP="00FF1C2E">
      <w:pPr>
        <w:pStyle w:val="NormalWeb"/>
        <w:spacing w:before="0" w:beforeAutospacing="0" w:after="160" w:afterAutospacing="0"/>
      </w:pPr>
      <w:r>
        <w:rPr>
          <w:rFonts w:ascii="Arial" w:hAnsi="Arial" w:cs="Arial"/>
          <w:color w:val="000000"/>
          <w:sz w:val="22"/>
          <w:szCs w:val="22"/>
        </w:rPr>
        <w:t>We highlight the characteristics of the healthcare supply chain to adapt the implementation of technologies.</w:t>
      </w:r>
    </w:p>
    <w:p w14:paraId="23B4DC09" w14:textId="77777777" w:rsidR="00FF1C2E" w:rsidRDefault="00FF1C2E" w:rsidP="00FF1C2E">
      <w:pPr>
        <w:pStyle w:val="NormalWeb"/>
        <w:spacing w:before="0" w:beforeAutospacing="0" w:after="160" w:afterAutospacing="0"/>
      </w:pPr>
      <w:r>
        <w:rPr>
          <w:rFonts w:ascii="Arial" w:hAnsi="Arial" w:cs="Arial"/>
          <w:color w:val="000000"/>
          <w:sz w:val="22"/>
          <w:szCs w:val="22"/>
        </w:rPr>
        <w:t>We provide an integrated understanding of the benefits of digitalization for supply chain and clinical practices.</w:t>
      </w:r>
    </w:p>
    <w:p w14:paraId="6C6A0D59" w14:textId="77777777" w:rsidR="00FF1C2E" w:rsidRDefault="00FF1C2E" w:rsidP="00FF1C2E">
      <w:pPr>
        <w:pStyle w:val="NormalWeb"/>
        <w:spacing w:before="0" w:beforeAutospacing="0" w:after="160" w:afterAutospacing="0"/>
      </w:pPr>
      <w:r>
        <w:rPr>
          <w:rFonts w:ascii="Arial" w:hAnsi="Arial" w:cs="Arial"/>
          <w:color w:val="000000"/>
          <w:sz w:val="22"/>
          <w:szCs w:val="22"/>
        </w:rPr>
        <w:t>Abstract</w:t>
      </w:r>
    </w:p>
    <w:p w14:paraId="3B8F057F" w14:textId="77777777" w:rsidR="00FF1C2E" w:rsidRDefault="00FF1C2E" w:rsidP="00FF1C2E">
      <w:pPr>
        <w:pStyle w:val="NormalWeb"/>
        <w:spacing w:before="0" w:beforeAutospacing="0" w:after="160" w:afterAutospacing="0"/>
      </w:pPr>
      <w:r>
        <w:rPr>
          <w:rFonts w:ascii="Arial" w:hAnsi="Arial" w:cs="Arial"/>
          <w:color w:val="000000"/>
          <w:sz w:val="22"/>
          <w:szCs w:val="22"/>
        </w:rPr>
        <w:t xml:space="preserve">The healthcare supply chain lags far behind supply chains in other industries in terms of performance and the deployment of best practices. Managers could bridge this gap and improve the performance of the healthcare supply chain by implementing digitalization initiatives. However, the erratic, disconnected digitalization of practices already deployed in the healthcare sector makes it difficult to maximize the potential of these initiatives. </w:t>
      </w:r>
      <w:proofErr w:type="gramStart"/>
      <w:r>
        <w:rPr>
          <w:rFonts w:ascii="Arial" w:hAnsi="Arial" w:cs="Arial"/>
          <w:color w:val="000000"/>
          <w:sz w:val="22"/>
          <w:szCs w:val="22"/>
        </w:rPr>
        <w:t>In order to</w:t>
      </w:r>
      <w:proofErr w:type="gramEnd"/>
      <w:r>
        <w:rPr>
          <w:rFonts w:ascii="Arial" w:hAnsi="Arial" w:cs="Arial"/>
          <w:color w:val="000000"/>
          <w:sz w:val="22"/>
          <w:szCs w:val="22"/>
        </w:rPr>
        <w:t xml:space="preserve"> generate the greatest benefits from digitalization while improving healthcare delivery, this article sets out a roadmap for implementing technologies. Unlike previous studies that focused on the entire supply chain or had been limited to patient flow, this study adopts the perspective of the hospital as a central launching point for digitalization initiatives. The roadmap, which involves both internal and external digitalization trajectories, is based on a research methodology that combines observations with an umbrella review of literature. This methodology enables us to capture the research challenges associated with the healthcare supply chain and show how digitalization initiatives can address them. The digitalization proposals put forward are structured in terms of priority and centered on hospitals. These proposals can help managers make improvements to the supply chain </w:t>
      </w:r>
      <w:proofErr w:type="gramStart"/>
      <w:r>
        <w:rPr>
          <w:rFonts w:ascii="Arial" w:hAnsi="Arial" w:cs="Arial"/>
          <w:color w:val="000000"/>
          <w:sz w:val="22"/>
          <w:szCs w:val="22"/>
        </w:rPr>
        <w:t>and also</w:t>
      </w:r>
      <w:proofErr w:type="gramEnd"/>
      <w:r>
        <w:rPr>
          <w:rFonts w:ascii="Arial" w:hAnsi="Arial" w:cs="Arial"/>
          <w:color w:val="000000"/>
          <w:sz w:val="22"/>
          <w:szCs w:val="22"/>
        </w:rPr>
        <w:t xml:space="preserve"> clinical flows.</w:t>
      </w:r>
    </w:p>
    <w:p w14:paraId="78D29DD8" w14:textId="77777777" w:rsidR="00FF1C2E" w:rsidRDefault="00FF1C2E" w:rsidP="00FF1C2E"/>
    <w:p w14:paraId="42FE56F6" w14:textId="77777777" w:rsidR="00FF1C2E" w:rsidRDefault="00FF1C2E" w:rsidP="00FF1C2E">
      <w:pPr>
        <w:pStyle w:val="NormalWeb"/>
        <w:spacing w:before="0" w:beforeAutospacing="0" w:after="160" w:afterAutospacing="0"/>
      </w:pPr>
      <w:r>
        <w:rPr>
          <w:rFonts w:ascii="Arial" w:hAnsi="Arial" w:cs="Arial"/>
          <w:color w:val="000000"/>
          <w:sz w:val="22"/>
          <w:szCs w:val="22"/>
        </w:rPr>
        <w:t>The study identifies five key digitalization initiatives:</w:t>
      </w:r>
    </w:p>
    <w:p w14:paraId="325AFFFF" w14:textId="77777777" w:rsidR="00FF1C2E" w:rsidRDefault="00FF1C2E" w:rsidP="00FF1C2E">
      <w:pPr>
        <w:pStyle w:val="NormalWeb"/>
        <w:spacing w:before="0" w:beforeAutospacing="0" w:after="160" w:afterAutospacing="0"/>
      </w:pPr>
      <w:r>
        <w:rPr>
          <w:rFonts w:ascii="Arial" w:hAnsi="Arial" w:cs="Arial"/>
          <w:color w:val="000000"/>
          <w:sz w:val="22"/>
          <w:szCs w:val="22"/>
        </w:rPr>
        <w:t>Dynamic inventory policies for healthcare units</w:t>
      </w:r>
    </w:p>
    <w:p w14:paraId="681BB14D" w14:textId="77777777" w:rsidR="00FF1C2E" w:rsidRDefault="00FF1C2E" w:rsidP="00FF1C2E">
      <w:pPr>
        <w:pStyle w:val="NormalWeb"/>
        <w:spacing w:before="0" w:beforeAutospacing="0" w:after="160" w:afterAutospacing="0"/>
      </w:pPr>
      <w:r>
        <w:rPr>
          <w:rFonts w:ascii="Arial" w:hAnsi="Arial" w:cs="Arial"/>
          <w:color w:val="000000"/>
          <w:sz w:val="22"/>
          <w:szCs w:val="22"/>
        </w:rPr>
        <w:t>Demand predictors for proactive inventory management</w:t>
      </w:r>
    </w:p>
    <w:p w14:paraId="096DC4BF" w14:textId="77777777" w:rsidR="00FF1C2E" w:rsidRDefault="00FF1C2E" w:rsidP="00FF1C2E">
      <w:pPr>
        <w:pStyle w:val="NormalWeb"/>
        <w:spacing w:before="0" w:beforeAutospacing="0" w:after="160" w:afterAutospacing="0"/>
      </w:pPr>
      <w:r>
        <w:rPr>
          <w:rFonts w:ascii="Arial" w:hAnsi="Arial" w:cs="Arial"/>
          <w:color w:val="000000"/>
          <w:sz w:val="22"/>
          <w:szCs w:val="22"/>
        </w:rPr>
        <w:t>Dynamic operating schedules</w:t>
      </w:r>
    </w:p>
    <w:p w14:paraId="53218AD5" w14:textId="77777777" w:rsidR="00FF1C2E" w:rsidRDefault="00FF1C2E" w:rsidP="00FF1C2E">
      <w:pPr>
        <w:pStyle w:val="NormalWeb"/>
        <w:spacing w:before="0" w:beforeAutospacing="0" w:after="160" w:afterAutospacing="0"/>
      </w:pPr>
      <w:r>
        <w:rPr>
          <w:rFonts w:ascii="Arial" w:hAnsi="Arial" w:cs="Arial"/>
          <w:color w:val="000000"/>
          <w:sz w:val="22"/>
          <w:szCs w:val="22"/>
        </w:rPr>
        <w:t>Logistics automation technologies to link internal flows</w:t>
      </w:r>
    </w:p>
    <w:p w14:paraId="48D7F71A" w14:textId="77777777" w:rsidR="00FF1C2E" w:rsidRDefault="00FF1C2E" w:rsidP="00FF1C2E">
      <w:pPr>
        <w:pStyle w:val="NormalWeb"/>
        <w:spacing w:before="0" w:beforeAutospacing="0" w:after="160" w:afterAutospacing="0"/>
      </w:pPr>
      <w:r>
        <w:rPr>
          <w:rFonts w:ascii="Arial" w:hAnsi="Arial" w:cs="Arial"/>
          <w:color w:val="000000"/>
          <w:sz w:val="22"/>
          <w:szCs w:val="22"/>
        </w:rPr>
        <w:t>Dynamic external supply chains</w:t>
      </w:r>
    </w:p>
    <w:p w14:paraId="202F859A" w14:textId="77777777" w:rsidR="00FF1C2E" w:rsidRDefault="00FF1C2E" w:rsidP="00FF1C2E">
      <w:pPr>
        <w:pStyle w:val="NormalWeb"/>
        <w:spacing w:before="0" w:beforeAutospacing="0" w:after="160" w:afterAutospacing="0"/>
      </w:pPr>
      <w:r>
        <w:rPr>
          <w:rFonts w:ascii="Arial" w:hAnsi="Arial" w:cs="Arial"/>
          <w:color w:val="000000"/>
          <w:sz w:val="22"/>
          <w:szCs w:val="22"/>
        </w:rPr>
        <w:t>The Five Digitalization Initiatives</w:t>
      </w:r>
    </w:p>
    <w:p w14:paraId="5A2520A9" w14:textId="77777777" w:rsidR="00FF1C2E" w:rsidRDefault="00FF1C2E" w:rsidP="00FF1C2E">
      <w:pPr>
        <w:pStyle w:val="NormalWeb"/>
        <w:spacing w:before="0" w:beforeAutospacing="0" w:after="160" w:afterAutospacing="0"/>
      </w:pPr>
      <w:r>
        <w:rPr>
          <w:rFonts w:ascii="Arial" w:hAnsi="Arial" w:cs="Arial"/>
          <w:color w:val="000000"/>
          <w:sz w:val="22"/>
          <w:szCs w:val="22"/>
        </w:rPr>
        <w:lastRenderedPageBreak/>
        <w:t>Initiative #1: Dynamic Inventory Policies for Healthcare Units</w:t>
      </w:r>
    </w:p>
    <w:p w14:paraId="5D62EAAE" w14:textId="77777777" w:rsidR="00FF1C2E" w:rsidRDefault="00FF1C2E" w:rsidP="00FF1C2E">
      <w:pPr>
        <w:pStyle w:val="NormalWeb"/>
        <w:spacing w:before="0" w:beforeAutospacing="0" w:after="160" w:afterAutospacing="0"/>
      </w:pPr>
      <w:r>
        <w:rPr>
          <w:rFonts w:ascii="Arial" w:hAnsi="Arial" w:cs="Arial"/>
          <w:color w:val="000000"/>
          <w:sz w:val="22"/>
          <w:szCs w:val="22"/>
        </w:rPr>
        <w:t>Current Problem: Healthcare units use reactive inventory systems with fixed strategies for stock vs. non-stock items. Traditional models struggle with unpredictable demand and disproportionate shortage costs.</w:t>
      </w:r>
    </w:p>
    <w:p w14:paraId="36D1F5A5" w14:textId="77777777" w:rsidR="00FF1C2E" w:rsidRDefault="00FF1C2E" w:rsidP="00FF1C2E">
      <w:pPr>
        <w:pStyle w:val="NormalWeb"/>
        <w:spacing w:before="0" w:beforeAutospacing="0" w:after="160" w:afterAutospacing="0"/>
      </w:pPr>
      <w:r>
        <w:rPr>
          <w:rFonts w:ascii="Arial" w:hAnsi="Arial" w:cs="Arial"/>
          <w:color w:val="000000"/>
          <w:sz w:val="22"/>
          <w:szCs w:val="22"/>
        </w:rPr>
        <w:t>Solution: Develop more nuanced inventory strategies using indicators like velocity, frequency of shortages, and stock rotation rates. Consider variables such as consumption velocity, demand variability, supplier service levels, and lead times.</w:t>
      </w:r>
    </w:p>
    <w:p w14:paraId="2FC98C04" w14:textId="77777777" w:rsidR="00FF1C2E" w:rsidRDefault="00FF1C2E" w:rsidP="00FF1C2E">
      <w:pPr>
        <w:pStyle w:val="NormalWeb"/>
        <w:spacing w:before="0" w:beforeAutospacing="0" w:after="160" w:afterAutospacing="0"/>
      </w:pPr>
      <w:r>
        <w:rPr>
          <w:rFonts w:ascii="Arial" w:hAnsi="Arial" w:cs="Arial"/>
          <w:color w:val="000000"/>
          <w:sz w:val="22"/>
          <w:szCs w:val="22"/>
        </w:rPr>
        <w:t>Benefits: Reduced stock levels, fewer losses from obsolete products, and better risk management.</w:t>
      </w:r>
    </w:p>
    <w:p w14:paraId="620D3D75" w14:textId="77777777" w:rsidR="00FF1C2E" w:rsidRDefault="00FF1C2E" w:rsidP="00FF1C2E">
      <w:pPr>
        <w:pStyle w:val="NormalWeb"/>
        <w:spacing w:before="0" w:beforeAutospacing="0" w:after="160" w:afterAutospacing="0"/>
      </w:pPr>
      <w:r>
        <w:rPr>
          <w:rFonts w:ascii="Arial" w:hAnsi="Arial" w:cs="Arial"/>
          <w:color w:val="000000"/>
          <w:sz w:val="22"/>
          <w:szCs w:val="22"/>
        </w:rPr>
        <w:t>Initiative #2: Demand Predictors for Proactive Management</w:t>
      </w:r>
    </w:p>
    <w:p w14:paraId="30FBA0B3" w14:textId="77777777" w:rsidR="00FF1C2E" w:rsidRDefault="00FF1C2E" w:rsidP="00FF1C2E">
      <w:pPr>
        <w:pStyle w:val="NormalWeb"/>
        <w:spacing w:before="0" w:beforeAutospacing="0" w:after="160" w:afterAutospacing="0"/>
      </w:pPr>
      <w:r>
        <w:rPr>
          <w:rFonts w:ascii="Arial" w:hAnsi="Arial" w:cs="Arial"/>
          <w:color w:val="000000"/>
          <w:sz w:val="22"/>
          <w:szCs w:val="22"/>
        </w:rPr>
        <w:t>Technology: Enhanced RFID systems combined with double-bin replenishment. Real-time consumption data linked with clinical information.</w:t>
      </w:r>
    </w:p>
    <w:p w14:paraId="4050BBC8" w14:textId="77777777" w:rsidR="00FF1C2E" w:rsidRDefault="00FF1C2E" w:rsidP="00FF1C2E">
      <w:pPr>
        <w:pStyle w:val="NormalWeb"/>
        <w:spacing w:before="0" w:beforeAutospacing="0" w:after="160" w:afterAutospacing="0"/>
      </w:pPr>
      <w:r>
        <w:rPr>
          <w:rFonts w:ascii="Arial" w:hAnsi="Arial" w:cs="Arial"/>
          <w:color w:val="000000"/>
          <w:sz w:val="22"/>
          <w:szCs w:val="22"/>
        </w:rPr>
        <w:t>Benefits: Early detection of phenomena like influenza outbreaks, enabling proactive contingency planning rather than reactive responses.</w:t>
      </w:r>
    </w:p>
    <w:p w14:paraId="7440CFCE" w14:textId="77777777" w:rsidR="00FF1C2E" w:rsidRDefault="00FF1C2E" w:rsidP="00FF1C2E">
      <w:pPr>
        <w:pStyle w:val="NormalWeb"/>
        <w:spacing w:before="0" w:beforeAutospacing="0" w:after="160" w:afterAutospacing="0"/>
      </w:pPr>
      <w:r>
        <w:rPr>
          <w:rFonts w:ascii="Arial" w:hAnsi="Arial" w:cs="Arial"/>
          <w:color w:val="000000"/>
          <w:sz w:val="22"/>
          <w:szCs w:val="22"/>
        </w:rPr>
        <w:t>Challenges: Requires big-data analytics capabilities and cross-referencing multiple databases.</w:t>
      </w:r>
    </w:p>
    <w:p w14:paraId="7570FE1B" w14:textId="77777777" w:rsidR="00FF1C2E" w:rsidRDefault="00FF1C2E" w:rsidP="00FF1C2E">
      <w:pPr>
        <w:pStyle w:val="NormalWeb"/>
        <w:spacing w:before="0" w:beforeAutospacing="0" w:after="160" w:afterAutospacing="0"/>
      </w:pPr>
      <w:r>
        <w:rPr>
          <w:rFonts w:ascii="Arial" w:hAnsi="Arial" w:cs="Arial"/>
          <w:color w:val="000000"/>
          <w:sz w:val="22"/>
          <w:szCs w:val="22"/>
        </w:rPr>
        <w:t>Initiative #3: Dynamic Operating Schedules</w:t>
      </w:r>
    </w:p>
    <w:p w14:paraId="0AD13DC9" w14:textId="77777777" w:rsidR="00FF1C2E" w:rsidRDefault="00FF1C2E" w:rsidP="00FF1C2E">
      <w:pPr>
        <w:pStyle w:val="NormalWeb"/>
        <w:spacing w:before="0" w:beforeAutospacing="0" w:after="160" w:afterAutospacing="0"/>
      </w:pPr>
      <w:r>
        <w:rPr>
          <w:rFonts w:ascii="Arial" w:hAnsi="Arial" w:cs="Arial"/>
          <w:color w:val="000000"/>
          <w:sz w:val="22"/>
          <w:szCs w:val="22"/>
        </w:rPr>
        <w:t>Current Issue: Operating rooms use basic FIFO sterilization methods, leading to inefficient tray management. Limited visibility of upcoming operations hampers inventory decisions.</w:t>
      </w:r>
    </w:p>
    <w:p w14:paraId="183BF1C2" w14:textId="77777777" w:rsidR="00FF1C2E" w:rsidRDefault="00FF1C2E" w:rsidP="00FF1C2E">
      <w:pPr>
        <w:pStyle w:val="NormalWeb"/>
        <w:spacing w:before="0" w:beforeAutospacing="0" w:after="160" w:afterAutospacing="0"/>
      </w:pPr>
      <w:r>
        <w:rPr>
          <w:rFonts w:ascii="Arial" w:hAnsi="Arial" w:cs="Arial"/>
          <w:color w:val="000000"/>
          <w:sz w:val="22"/>
          <w:szCs w:val="22"/>
        </w:rPr>
        <w:t>Solution: Create longer-horizon schedules weighted with probability data from historical patterns. Treat operating schedules like manufacturing schedules.</w:t>
      </w:r>
    </w:p>
    <w:p w14:paraId="4EB6599F" w14:textId="77777777" w:rsidR="00FF1C2E" w:rsidRDefault="00FF1C2E" w:rsidP="00FF1C2E">
      <w:pPr>
        <w:pStyle w:val="NormalWeb"/>
        <w:spacing w:before="0" w:beforeAutospacing="0" w:after="160" w:afterAutospacing="0"/>
      </w:pPr>
      <w:r>
        <w:rPr>
          <w:rFonts w:ascii="Arial" w:hAnsi="Arial" w:cs="Arial"/>
          <w:color w:val="000000"/>
          <w:sz w:val="22"/>
          <w:szCs w:val="22"/>
        </w:rPr>
        <w:t>Benefits: Reduced patient waiting times, better resource coordination, and improved clinical outcomes.</w:t>
      </w:r>
    </w:p>
    <w:p w14:paraId="449900CD" w14:textId="77777777" w:rsidR="00FF1C2E" w:rsidRDefault="00FF1C2E" w:rsidP="00FF1C2E">
      <w:pPr>
        <w:pStyle w:val="NormalWeb"/>
        <w:spacing w:before="0" w:beforeAutospacing="0" w:after="160" w:afterAutospacing="0"/>
      </w:pPr>
      <w:r>
        <w:rPr>
          <w:rFonts w:ascii="Arial" w:hAnsi="Arial" w:cs="Arial"/>
          <w:color w:val="000000"/>
          <w:sz w:val="22"/>
          <w:szCs w:val="22"/>
        </w:rPr>
        <w:t>Initiative #4: Internal Logistics Automation</w:t>
      </w:r>
    </w:p>
    <w:p w14:paraId="3CC0A2B9" w14:textId="77777777" w:rsidR="00FF1C2E" w:rsidRDefault="00FF1C2E" w:rsidP="00FF1C2E">
      <w:pPr>
        <w:pStyle w:val="NormalWeb"/>
        <w:spacing w:before="0" w:beforeAutospacing="0" w:after="160" w:afterAutospacing="0"/>
      </w:pPr>
      <w:r>
        <w:rPr>
          <w:rFonts w:ascii="Arial" w:hAnsi="Arial" w:cs="Arial"/>
          <w:color w:val="000000"/>
          <w:sz w:val="22"/>
          <w:szCs w:val="22"/>
        </w:rPr>
        <w:t>Technology: Automated Guided Vehicles (AGVs) combined with RFID for connecting patient, material, and equipment flows.</w:t>
      </w:r>
    </w:p>
    <w:p w14:paraId="452F5C69" w14:textId="77777777" w:rsidR="00FF1C2E" w:rsidRDefault="00FF1C2E" w:rsidP="00FF1C2E">
      <w:pPr>
        <w:pStyle w:val="NormalWeb"/>
        <w:spacing w:before="0" w:beforeAutospacing="0" w:after="160" w:afterAutospacing="0"/>
      </w:pPr>
      <w:r>
        <w:rPr>
          <w:rFonts w:ascii="Arial" w:hAnsi="Arial" w:cs="Arial"/>
          <w:color w:val="000000"/>
          <w:sz w:val="22"/>
          <w:szCs w:val="22"/>
        </w:rPr>
        <w:t>Benefits: Relieves care staff from logistics tasks, standardizes processes, improves safety, and enhances patient service quality.</w:t>
      </w:r>
    </w:p>
    <w:p w14:paraId="44F913BE" w14:textId="77777777" w:rsidR="00FF1C2E" w:rsidRDefault="00FF1C2E" w:rsidP="00FF1C2E">
      <w:pPr>
        <w:pStyle w:val="NormalWeb"/>
        <w:spacing w:before="0" w:beforeAutospacing="0" w:after="160" w:afterAutospacing="0"/>
      </w:pPr>
      <w:r>
        <w:rPr>
          <w:rFonts w:ascii="Arial" w:hAnsi="Arial" w:cs="Arial"/>
          <w:color w:val="000000"/>
          <w:sz w:val="22"/>
          <w:szCs w:val="22"/>
        </w:rPr>
        <w:t>Challenges: Requires significant financial investment, change management, and employee training.</w:t>
      </w:r>
    </w:p>
    <w:p w14:paraId="22773392" w14:textId="77777777" w:rsidR="00FF1C2E" w:rsidRDefault="00FF1C2E" w:rsidP="00FF1C2E">
      <w:pPr>
        <w:pStyle w:val="NormalWeb"/>
        <w:spacing w:before="0" w:beforeAutospacing="0" w:after="160" w:afterAutospacing="0"/>
      </w:pPr>
      <w:r>
        <w:rPr>
          <w:rFonts w:ascii="Arial" w:hAnsi="Arial" w:cs="Arial"/>
          <w:color w:val="000000"/>
          <w:sz w:val="22"/>
          <w:szCs w:val="22"/>
        </w:rPr>
        <w:t>Initiative #5: Dynamic External Supply Chains</w:t>
      </w:r>
    </w:p>
    <w:p w14:paraId="52022FD2" w14:textId="77777777" w:rsidR="00FF1C2E" w:rsidRDefault="00FF1C2E" w:rsidP="00FF1C2E">
      <w:pPr>
        <w:pStyle w:val="NormalWeb"/>
        <w:spacing w:before="0" w:beforeAutospacing="0" w:after="160" w:afterAutospacing="0"/>
      </w:pPr>
      <w:r>
        <w:rPr>
          <w:rFonts w:ascii="Arial" w:hAnsi="Arial" w:cs="Arial"/>
          <w:color w:val="000000"/>
          <w:sz w:val="22"/>
          <w:szCs w:val="22"/>
        </w:rPr>
        <w:t>Driver: Healthcare dispersal through telemedicine and home-based care creates new distribution challenges.</w:t>
      </w:r>
    </w:p>
    <w:p w14:paraId="1FD2B3E3" w14:textId="00B67150" w:rsidR="00FF1C2E" w:rsidRDefault="00FF1C2E" w:rsidP="00FF1C2E">
      <w:pPr>
        <w:pStyle w:val="NormalWeb"/>
        <w:spacing w:before="0" w:beforeAutospacing="0" w:after="160" w:afterAutospacing="0"/>
      </w:pPr>
      <w:r>
        <w:rPr>
          <w:rFonts w:ascii="Arial" w:hAnsi="Arial" w:cs="Arial"/>
          <w:color w:val="000000"/>
          <w:sz w:val="22"/>
          <w:szCs w:val="22"/>
        </w:rPr>
        <w:t xml:space="preserve">Solution: Flexible supply networks adapted for small-batch distribution, </w:t>
      </w:r>
      <w:proofErr w:type="gramStart"/>
      <w:r>
        <w:rPr>
          <w:rFonts w:ascii="Arial" w:hAnsi="Arial" w:cs="Arial"/>
          <w:color w:val="000000"/>
          <w:sz w:val="22"/>
          <w:szCs w:val="22"/>
        </w:rPr>
        <w:t>similar to</w:t>
      </w:r>
      <w:proofErr w:type="gramEnd"/>
      <w:r>
        <w:rPr>
          <w:rFonts w:ascii="Arial" w:hAnsi="Arial" w:cs="Arial"/>
          <w:color w:val="000000"/>
          <w:sz w:val="22"/>
          <w:szCs w:val="22"/>
        </w:rPr>
        <w:t xml:space="preserve"> e-commerce models.</w:t>
      </w:r>
    </w:p>
    <w:p w14:paraId="714BCC20" w14:textId="77777777" w:rsidR="00FF1C2E" w:rsidRDefault="00FF1C2E" w:rsidP="00FF1C2E">
      <w:pPr>
        <w:pStyle w:val="NormalWeb"/>
        <w:spacing w:before="0" w:beforeAutospacing="0" w:after="160" w:afterAutospacing="0"/>
      </w:pPr>
      <w:r>
        <w:rPr>
          <w:rFonts w:ascii="Arial" w:hAnsi="Arial" w:cs="Arial"/>
          <w:color w:val="000000"/>
          <w:sz w:val="22"/>
          <w:szCs w:val="22"/>
        </w:rPr>
        <w:t>Benefits: Improved patient services, such as home delivery of prescriptions following remote consultations.</w:t>
      </w:r>
    </w:p>
    <w:p w14:paraId="03E2DE77" w14:textId="77777777" w:rsidR="00FF1C2E" w:rsidRDefault="00FF1C2E" w:rsidP="00FF1C2E">
      <w:pPr>
        <w:pStyle w:val="NormalWeb"/>
        <w:spacing w:before="0" w:beforeAutospacing="0" w:after="160" w:afterAutospacing="0"/>
      </w:pPr>
      <w:r>
        <w:rPr>
          <w:rFonts w:ascii="Arial" w:hAnsi="Arial" w:cs="Arial"/>
          <w:color w:val="000000"/>
          <w:sz w:val="22"/>
          <w:szCs w:val="22"/>
        </w:rPr>
        <w:t>Challenges: Requires coordination with new clinical partners outside traditional logistics chains</w:t>
      </w:r>
    </w:p>
    <w:p w14:paraId="317D3201" w14:textId="77777777" w:rsidR="00FF1C2E" w:rsidRDefault="00FF1C2E" w:rsidP="00FF1C2E">
      <w:pPr>
        <w:pStyle w:val="NormalWeb"/>
        <w:spacing w:before="0" w:beforeAutospacing="0" w:after="160" w:afterAutospacing="0"/>
      </w:pPr>
      <w:r>
        <w:rPr>
          <w:rFonts w:ascii="Arial" w:hAnsi="Arial" w:cs="Arial"/>
          <w:color w:val="000000"/>
          <w:sz w:val="22"/>
          <w:szCs w:val="22"/>
        </w:rPr>
        <w:lastRenderedPageBreak/>
        <w:t> </w:t>
      </w:r>
    </w:p>
    <w:p w14:paraId="20894FE4" w14:textId="55C41E6F" w:rsidR="002A0D45" w:rsidRDefault="002A0D45"/>
    <w:sectPr w:rsidR="002A0D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98488C"/>
    <w:multiLevelType w:val="multilevel"/>
    <w:tmpl w:val="BD36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3788D"/>
    <w:multiLevelType w:val="multilevel"/>
    <w:tmpl w:val="13D6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A0B12"/>
    <w:multiLevelType w:val="multilevel"/>
    <w:tmpl w:val="B33A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B172D"/>
    <w:multiLevelType w:val="multilevel"/>
    <w:tmpl w:val="9F88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83C7C"/>
    <w:multiLevelType w:val="multilevel"/>
    <w:tmpl w:val="3E14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D65CB"/>
    <w:multiLevelType w:val="multilevel"/>
    <w:tmpl w:val="D240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C1F6C"/>
    <w:multiLevelType w:val="multilevel"/>
    <w:tmpl w:val="760C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6C3D33"/>
    <w:multiLevelType w:val="multilevel"/>
    <w:tmpl w:val="09F8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5158A3"/>
    <w:multiLevelType w:val="multilevel"/>
    <w:tmpl w:val="49FE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D80621"/>
    <w:multiLevelType w:val="multilevel"/>
    <w:tmpl w:val="93AA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103236"/>
    <w:multiLevelType w:val="multilevel"/>
    <w:tmpl w:val="143A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F32785"/>
    <w:multiLevelType w:val="multilevel"/>
    <w:tmpl w:val="8E58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75645"/>
    <w:multiLevelType w:val="multilevel"/>
    <w:tmpl w:val="B922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4853A3"/>
    <w:multiLevelType w:val="multilevel"/>
    <w:tmpl w:val="A514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343975">
    <w:abstractNumId w:val="5"/>
  </w:num>
  <w:num w:numId="2" w16cid:durableId="2013294406">
    <w:abstractNumId w:val="3"/>
  </w:num>
  <w:num w:numId="3" w16cid:durableId="1275400234">
    <w:abstractNumId w:val="6"/>
  </w:num>
  <w:num w:numId="4" w16cid:durableId="649139605">
    <w:abstractNumId w:val="7"/>
  </w:num>
  <w:num w:numId="5" w16cid:durableId="1277952866">
    <w:abstractNumId w:val="12"/>
  </w:num>
  <w:num w:numId="6" w16cid:durableId="589242494">
    <w:abstractNumId w:val="13"/>
  </w:num>
  <w:num w:numId="7" w16cid:durableId="63071458">
    <w:abstractNumId w:val="8"/>
  </w:num>
  <w:num w:numId="8" w16cid:durableId="442071238">
    <w:abstractNumId w:val="11"/>
  </w:num>
  <w:num w:numId="9" w16cid:durableId="1989549051">
    <w:abstractNumId w:val="1"/>
  </w:num>
  <w:num w:numId="10" w16cid:durableId="1125007864">
    <w:abstractNumId w:val="4"/>
  </w:num>
  <w:num w:numId="11" w16cid:durableId="213545744">
    <w:abstractNumId w:val="0"/>
  </w:num>
  <w:num w:numId="12" w16cid:durableId="1272973242">
    <w:abstractNumId w:val="10"/>
  </w:num>
  <w:num w:numId="13" w16cid:durableId="1395544845">
    <w:abstractNumId w:val="2"/>
  </w:num>
  <w:num w:numId="14" w16cid:durableId="10231307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E4"/>
    <w:rsid w:val="00097842"/>
    <w:rsid w:val="00112DF3"/>
    <w:rsid w:val="00221EE4"/>
    <w:rsid w:val="002247BD"/>
    <w:rsid w:val="00245B28"/>
    <w:rsid w:val="002A0D45"/>
    <w:rsid w:val="003C6D0C"/>
    <w:rsid w:val="00FF1C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6E929"/>
  <w15:chartTrackingRefBased/>
  <w15:docId w15:val="{CFFC2F70-FB3A-B947-A66A-FCE1A7F44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E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E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1E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E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E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E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E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1E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E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E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EE4"/>
    <w:rPr>
      <w:rFonts w:eastAsiaTheme="majorEastAsia" w:cstheme="majorBidi"/>
      <w:color w:val="272727" w:themeColor="text1" w:themeTint="D8"/>
    </w:rPr>
  </w:style>
  <w:style w:type="paragraph" w:styleId="Title">
    <w:name w:val="Title"/>
    <w:basedOn w:val="Normal"/>
    <w:next w:val="Normal"/>
    <w:link w:val="TitleChar"/>
    <w:uiPriority w:val="10"/>
    <w:qFormat/>
    <w:rsid w:val="00221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EE4"/>
    <w:pPr>
      <w:spacing w:before="160"/>
      <w:jc w:val="center"/>
    </w:pPr>
    <w:rPr>
      <w:i/>
      <w:iCs/>
      <w:color w:val="404040" w:themeColor="text1" w:themeTint="BF"/>
    </w:rPr>
  </w:style>
  <w:style w:type="character" w:customStyle="1" w:styleId="QuoteChar">
    <w:name w:val="Quote Char"/>
    <w:basedOn w:val="DefaultParagraphFont"/>
    <w:link w:val="Quote"/>
    <w:uiPriority w:val="29"/>
    <w:rsid w:val="00221EE4"/>
    <w:rPr>
      <w:i/>
      <w:iCs/>
      <w:color w:val="404040" w:themeColor="text1" w:themeTint="BF"/>
    </w:rPr>
  </w:style>
  <w:style w:type="paragraph" w:styleId="ListParagraph">
    <w:name w:val="List Paragraph"/>
    <w:basedOn w:val="Normal"/>
    <w:uiPriority w:val="34"/>
    <w:qFormat/>
    <w:rsid w:val="00221EE4"/>
    <w:pPr>
      <w:ind w:left="720"/>
      <w:contextualSpacing/>
    </w:pPr>
  </w:style>
  <w:style w:type="character" w:styleId="IntenseEmphasis">
    <w:name w:val="Intense Emphasis"/>
    <w:basedOn w:val="DefaultParagraphFont"/>
    <w:uiPriority w:val="21"/>
    <w:qFormat/>
    <w:rsid w:val="00221EE4"/>
    <w:rPr>
      <w:i/>
      <w:iCs/>
      <w:color w:val="0F4761" w:themeColor="accent1" w:themeShade="BF"/>
    </w:rPr>
  </w:style>
  <w:style w:type="paragraph" w:styleId="IntenseQuote">
    <w:name w:val="Intense Quote"/>
    <w:basedOn w:val="Normal"/>
    <w:next w:val="Normal"/>
    <w:link w:val="IntenseQuoteChar"/>
    <w:uiPriority w:val="30"/>
    <w:qFormat/>
    <w:rsid w:val="00221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EE4"/>
    <w:rPr>
      <w:i/>
      <w:iCs/>
      <w:color w:val="0F4761" w:themeColor="accent1" w:themeShade="BF"/>
    </w:rPr>
  </w:style>
  <w:style w:type="character" w:styleId="IntenseReference">
    <w:name w:val="Intense Reference"/>
    <w:basedOn w:val="DefaultParagraphFont"/>
    <w:uiPriority w:val="32"/>
    <w:qFormat/>
    <w:rsid w:val="00221EE4"/>
    <w:rPr>
      <w:b/>
      <w:bCs/>
      <w:smallCaps/>
      <w:color w:val="0F4761" w:themeColor="accent1" w:themeShade="BF"/>
      <w:spacing w:val="5"/>
    </w:rPr>
  </w:style>
  <w:style w:type="character" w:styleId="Hyperlink">
    <w:name w:val="Hyperlink"/>
    <w:basedOn w:val="DefaultParagraphFont"/>
    <w:uiPriority w:val="99"/>
    <w:unhideWhenUsed/>
    <w:rsid w:val="00221EE4"/>
    <w:rPr>
      <w:color w:val="467886" w:themeColor="hyperlink"/>
      <w:u w:val="single"/>
    </w:rPr>
  </w:style>
  <w:style w:type="character" w:styleId="UnresolvedMention">
    <w:name w:val="Unresolved Mention"/>
    <w:basedOn w:val="DefaultParagraphFont"/>
    <w:uiPriority w:val="99"/>
    <w:semiHidden/>
    <w:unhideWhenUsed/>
    <w:rsid w:val="00221EE4"/>
    <w:rPr>
      <w:color w:val="605E5C"/>
      <w:shd w:val="clear" w:color="auto" w:fill="E1DFDD"/>
    </w:rPr>
  </w:style>
  <w:style w:type="paragraph" w:customStyle="1" w:styleId="c-cksc-content-journal-authors">
    <w:name w:val="c-cksc-content-journal-authors"/>
    <w:basedOn w:val="Normal"/>
    <w:rsid w:val="00221EE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cksc-content-journal-citation">
    <w:name w:val="c-cksc-content-journal-citation"/>
    <w:basedOn w:val="Normal"/>
    <w:rsid w:val="00221EE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FF1C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247B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linicalkey.com/" TargetMode="External"/><Relationship Id="rId13" Type="http://schemas.openxmlformats.org/officeDocument/2006/relationships/hyperlink" Target="https://www.clinicalkey.com/" TargetMode="External"/><Relationship Id="rId18" Type="http://schemas.openxmlformats.org/officeDocument/2006/relationships/hyperlink" Target="https://www.emerald.com/ijoa/article-pdf/32/9/2135/9572734/ijoa-10-2023-4063.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proquest.com/docview/2691483972?accountid=12085&amp;pq-origsite=summon&amp;sourcetype=Scholarly%20Journals" TargetMode="External"/><Relationship Id="rId7" Type="http://schemas.openxmlformats.org/officeDocument/2006/relationships/hyperlink" Target="https://www.clinicalkey.com/" TargetMode="External"/><Relationship Id="rId12" Type="http://schemas.openxmlformats.org/officeDocument/2006/relationships/hyperlink" Target="https://www.clinicalkey.com/" TargetMode="External"/><Relationship Id="rId17" Type="http://schemas.openxmlformats.org/officeDocument/2006/relationships/hyperlink" Target="https://www.proquest.com/docview/2267003498?_oafollow=false&amp;accountid=12085&amp;pq-origsite=summon&amp;sourcetype=Scholarly%20Journals" TargetMode="External"/><Relationship Id="rId25" Type="http://schemas.openxmlformats.org/officeDocument/2006/relationships/hyperlink" Target="https://www.sciencedirect.com/science/article/abs/pii/S0040162521001499?via%3Dihub" TargetMode="External"/><Relationship Id="rId2" Type="http://schemas.openxmlformats.org/officeDocument/2006/relationships/numbering" Target="numbering.xml"/><Relationship Id="rId16" Type="http://schemas.openxmlformats.org/officeDocument/2006/relationships/hyperlink" Target="https://www.clinicalkey.com/" TargetMode="External"/><Relationship Id="rId20" Type="http://schemas.openxmlformats.org/officeDocument/2006/relationships/hyperlink" Target="https://www.sciencedirect.com/science/article/pii/S0277953626004582" TargetMode="External"/><Relationship Id="rId1" Type="http://schemas.openxmlformats.org/officeDocument/2006/relationships/customXml" Target="../customXml/item1.xml"/><Relationship Id="rId6" Type="http://schemas.openxmlformats.org/officeDocument/2006/relationships/hyperlink" Target="https://www.clinicalkey.com/" TargetMode="External"/><Relationship Id="rId11" Type="http://schemas.openxmlformats.org/officeDocument/2006/relationships/hyperlink" Target="https://www.clinicalkey.com/" TargetMode="External"/><Relationship Id="rId24" Type="http://schemas.openxmlformats.org/officeDocument/2006/relationships/hyperlink" Target="https://www.sciencedirect.com/science/article/pii/S0040162521006909?via%3Dihub" TargetMode="External"/><Relationship Id="rId5" Type="http://schemas.openxmlformats.org/officeDocument/2006/relationships/webSettings" Target="webSettings.xml"/><Relationship Id="rId15" Type="http://schemas.openxmlformats.org/officeDocument/2006/relationships/hyperlink" Target="https://www.clinicalkey.com/" TargetMode="External"/><Relationship Id="rId23" Type="http://schemas.openxmlformats.org/officeDocument/2006/relationships/hyperlink" Target="https://www.proquest.com/docview/2424805325?accountid=12085&amp;pq-origsite=summon&amp;sourcetype=Scholarly%20Journals" TargetMode="External"/><Relationship Id="rId10" Type="http://schemas.openxmlformats.org/officeDocument/2006/relationships/hyperlink" Target="https://www.clinicalkey.com/" TargetMode="External"/><Relationship Id="rId19" Type="http://schemas.openxmlformats.org/officeDocument/2006/relationships/hyperlink" Target="https://www.proquest.com/docview/2443277595?accountid=12085&amp;pq-origsite=summon&amp;sourcetype=Scholarly%20Journals" TargetMode="External"/><Relationship Id="rId4" Type="http://schemas.openxmlformats.org/officeDocument/2006/relationships/settings" Target="settings.xml"/><Relationship Id="rId9" Type="http://schemas.openxmlformats.org/officeDocument/2006/relationships/hyperlink" Target="https://www.clinicalkey.com/" TargetMode="External"/><Relationship Id="rId14" Type="http://schemas.openxmlformats.org/officeDocument/2006/relationships/hyperlink" Target="https://www.clinicalkey.com/" TargetMode="External"/><Relationship Id="rId22" Type="http://schemas.openxmlformats.org/officeDocument/2006/relationships/hyperlink" Target="https://doaj.org/article/fb03a1357d0e43cdb597fb7fd9c92074"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D8260-FD58-EE41-991E-784AE9747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13</Pages>
  <Words>4599</Words>
  <Characters>26215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Jones</dc:creator>
  <cp:keywords/>
  <dc:description/>
  <cp:lastModifiedBy>Ellen Jones</cp:lastModifiedBy>
  <cp:revision>2</cp:revision>
  <dcterms:created xsi:type="dcterms:W3CDTF">2026-09-16T00:33:00Z</dcterms:created>
  <dcterms:modified xsi:type="dcterms:W3CDTF">2026-09-17T23:05:00Z</dcterms:modified>
</cp:coreProperties>
</file>