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B6A49" w:rsidRPr="004B6A49" w14:paraId="72B8523A" w14:textId="77777777" w:rsidTr="004B6A49">
        <w:tc>
          <w:tcPr>
            <w:tcW w:w="2831" w:type="dxa"/>
            <w:shd w:val="clear" w:color="auto" w:fill="E7E6E6" w:themeFill="background2"/>
          </w:tcPr>
          <w:p w14:paraId="69901083" w14:textId="29CE7AC1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Departamento / Unidad</w:t>
            </w:r>
          </w:p>
        </w:tc>
        <w:tc>
          <w:tcPr>
            <w:tcW w:w="2831" w:type="dxa"/>
            <w:shd w:val="clear" w:color="auto" w:fill="E7E6E6" w:themeFill="background2"/>
          </w:tcPr>
          <w:p w14:paraId="56D67071" w14:textId="7923405D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Función Principal</w:t>
            </w:r>
          </w:p>
        </w:tc>
        <w:tc>
          <w:tcPr>
            <w:tcW w:w="2832" w:type="dxa"/>
            <w:shd w:val="clear" w:color="auto" w:fill="E7E6E6" w:themeFill="background2"/>
          </w:tcPr>
          <w:p w14:paraId="7BA48CBE" w14:textId="66D8906B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Digitalización (Tecnologías y Transformación)</w:t>
            </w:r>
          </w:p>
        </w:tc>
      </w:tr>
      <w:tr w:rsidR="004B6A49" w14:paraId="0FCD4C89" w14:textId="77777777" w:rsidTr="004B6A49">
        <w:tc>
          <w:tcPr>
            <w:tcW w:w="2831" w:type="dxa"/>
            <w:shd w:val="clear" w:color="auto" w:fill="E7E6E6" w:themeFill="background2"/>
          </w:tcPr>
          <w:p w14:paraId="243768FE" w14:textId="10AA5A7A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Dirección y Estrategia Digital</w:t>
            </w:r>
          </w:p>
        </w:tc>
        <w:tc>
          <w:tcPr>
            <w:tcW w:w="2831" w:type="dxa"/>
          </w:tcPr>
          <w:p w14:paraId="7CC39DBB" w14:textId="5B5586A9" w:rsidR="004B6A49" w:rsidRDefault="004B6A49" w:rsidP="004B6A49">
            <w:pPr>
              <w:jc w:val="both"/>
            </w:pPr>
            <w:r>
              <w:t>Liderar la visión global, toma de decisiones estratégicas y alineación de los objetivos de negocio.</w:t>
            </w:r>
          </w:p>
        </w:tc>
        <w:tc>
          <w:tcPr>
            <w:tcW w:w="2832" w:type="dxa"/>
          </w:tcPr>
          <w:p w14:paraId="7786F761" w14:textId="459AFA1E" w:rsidR="004B6A49" w:rsidRDefault="004B6A49" w:rsidP="004B6A49">
            <w:pPr>
              <w:jc w:val="both"/>
            </w:pPr>
            <w:r>
              <w:t>Tableros de control ejecutivos, herramientas de inteligencia de negocio (BI</w:t>
            </w:r>
            <w:r>
              <w:t>)</w:t>
            </w:r>
            <w:r>
              <w:t>.</w:t>
            </w:r>
          </w:p>
        </w:tc>
      </w:tr>
      <w:tr w:rsidR="004B6A49" w14:paraId="4B39D201" w14:textId="77777777" w:rsidTr="004B6A49">
        <w:tc>
          <w:tcPr>
            <w:tcW w:w="2831" w:type="dxa"/>
            <w:shd w:val="clear" w:color="auto" w:fill="E7E6E6" w:themeFill="background2"/>
          </w:tcPr>
          <w:p w14:paraId="51FDE6D4" w14:textId="173C6606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Tecnología de la Información (TI)</w:t>
            </w:r>
          </w:p>
        </w:tc>
        <w:tc>
          <w:tcPr>
            <w:tcW w:w="2831" w:type="dxa"/>
          </w:tcPr>
          <w:p w14:paraId="148D42A9" w14:textId="0F3C8297" w:rsidR="004B6A49" w:rsidRDefault="004B6A49" w:rsidP="004B6A49">
            <w:pPr>
              <w:jc w:val="both"/>
            </w:pPr>
            <w:r>
              <w:t>A</w:t>
            </w:r>
            <w:r>
              <w:t>dministrar y proteger la infraestructura tecnológica y soporte técnico.</w:t>
            </w:r>
          </w:p>
        </w:tc>
        <w:tc>
          <w:tcPr>
            <w:tcW w:w="2832" w:type="dxa"/>
          </w:tcPr>
          <w:p w14:paraId="0A43199A" w14:textId="6E8D7B7B" w:rsidR="004B6A49" w:rsidRDefault="004B6A49" w:rsidP="004B6A49">
            <w:pPr>
              <w:jc w:val="both"/>
            </w:pPr>
            <w:r>
              <w:t>A</w:t>
            </w:r>
            <w:r>
              <w:t>rquitecturas de microservicios, automatización de infraestructura y gestión de TI orientada a servicios.</w:t>
            </w:r>
          </w:p>
        </w:tc>
      </w:tr>
      <w:tr w:rsidR="004B6A49" w14:paraId="1C6BC695" w14:textId="77777777" w:rsidTr="004B6A49">
        <w:tc>
          <w:tcPr>
            <w:tcW w:w="2831" w:type="dxa"/>
            <w:shd w:val="clear" w:color="auto" w:fill="E7E6E6" w:themeFill="background2"/>
          </w:tcPr>
          <w:p w14:paraId="043A5EE3" w14:textId="7AAD9ED4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Unidades de Negocio / Líneas de Producto</w:t>
            </w:r>
          </w:p>
        </w:tc>
        <w:tc>
          <w:tcPr>
            <w:tcW w:w="2831" w:type="dxa"/>
          </w:tcPr>
          <w:p w14:paraId="4E56DADE" w14:textId="473D8862" w:rsidR="004B6A49" w:rsidRDefault="004B6A49" w:rsidP="004B6A49">
            <w:pPr>
              <w:jc w:val="both"/>
            </w:pPr>
            <w:r>
              <w:t>Generar valor y rentabilidad mediante la gestión de producto</w:t>
            </w:r>
            <w:r>
              <w:t>s.</w:t>
            </w:r>
          </w:p>
        </w:tc>
        <w:tc>
          <w:tcPr>
            <w:tcW w:w="2832" w:type="dxa"/>
          </w:tcPr>
          <w:p w14:paraId="75175D86" w14:textId="0F5288AB" w:rsidR="004B6A49" w:rsidRDefault="004B6A49" w:rsidP="004B6A49">
            <w:pPr>
              <w:jc w:val="both"/>
            </w:pPr>
            <w:r>
              <w:t>Plataformas de gestión de ciclo de vida del producto, análisis de rentabilidad.</w:t>
            </w:r>
          </w:p>
        </w:tc>
      </w:tr>
      <w:tr w:rsidR="004B6A49" w14:paraId="0A8A7E31" w14:textId="77777777" w:rsidTr="004B6A49">
        <w:tc>
          <w:tcPr>
            <w:tcW w:w="2831" w:type="dxa"/>
            <w:shd w:val="clear" w:color="auto" w:fill="E7E6E6" w:themeFill="background2"/>
          </w:tcPr>
          <w:p w14:paraId="6DAE00FE" w14:textId="51F24973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Recursos Humanos y Desarrollo de Talento</w:t>
            </w:r>
          </w:p>
        </w:tc>
        <w:tc>
          <w:tcPr>
            <w:tcW w:w="2831" w:type="dxa"/>
          </w:tcPr>
          <w:p w14:paraId="4768F953" w14:textId="00489AA9" w:rsidR="004B6A49" w:rsidRDefault="004B6A49" w:rsidP="004B6A49">
            <w:pPr>
              <w:jc w:val="both"/>
            </w:pPr>
            <w:r>
              <w:t>Gestión del capital humano,</w:t>
            </w:r>
            <w:r>
              <w:t xml:space="preserve"> y</w:t>
            </w:r>
            <w:r>
              <w:t xml:space="preserve"> reclutamiento.</w:t>
            </w:r>
          </w:p>
        </w:tc>
        <w:tc>
          <w:tcPr>
            <w:tcW w:w="2832" w:type="dxa"/>
          </w:tcPr>
          <w:p w14:paraId="2131B21B" w14:textId="500819BD" w:rsidR="004B6A49" w:rsidRDefault="004B6A49" w:rsidP="004B6A49">
            <w:pPr>
              <w:jc w:val="both"/>
            </w:pPr>
            <w:r>
              <w:t>Sistemas de gestión de RR.HH., plataformas de aprendizaje en línea.</w:t>
            </w:r>
          </w:p>
        </w:tc>
      </w:tr>
      <w:tr w:rsidR="004B6A49" w14:paraId="4A9B5A52" w14:textId="77777777" w:rsidTr="004B6A49">
        <w:tc>
          <w:tcPr>
            <w:tcW w:w="2831" w:type="dxa"/>
            <w:shd w:val="clear" w:color="auto" w:fill="E7E6E6" w:themeFill="background2"/>
          </w:tcPr>
          <w:p w14:paraId="7E17E31B" w14:textId="736E6156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Ventas y Marketing</w:t>
            </w:r>
          </w:p>
        </w:tc>
        <w:tc>
          <w:tcPr>
            <w:tcW w:w="2831" w:type="dxa"/>
          </w:tcPr>
          <w:p w14:paraId="757083AF" w14:textId="6C5D439B" w:rsidR="004B6A49" w:rsidRDefault="004B6A49" w:rsidP="004B6A49">
            <w:pPr>
              <w:jc w:val="both"/>
            </w:pPr>
            <w:r>
              <w:t>Atracción de clientes, posicionamiento de marca, conversión e incremento de ingresos.</w:t>
            </w:r>
          </w:p>
        </w:tc>
        <w:tc>
          <w:tcPr>
            <w:tcW w:w="2832" w:type="dxa"/>
          </w:tcPr>
          <w:p w14:paraId="7878BA98" w14:textId="3041DE04" w:rsidR="004B6A49" w:rsidRDefault="004B6A49" w:rsidP="004B6A49">
            <w:pPr>
              <w:jc w:val="both"/>
            </w:pPr>
            <w:r>
              <w:t>Plataformas CRM, automatización de marketing</w:t>
            </w:r>
            <w:r>
              <w:t xml:space="preserve">, </w:t>
            </w:r>
            <w:r>
              <w:t>analítica web, campañas basadas en datos y canales e-Commerce.</w:t>
            </w:r>
          </w:p>
        </w:tc>
      </w:tr>
      <w:tr w:rsidR="004B6A49" w14:paraId="60792C80" w14:textId="77777777" w:rsidTr="004B6A49">
        <w:tc>
          <w:tcPr>
            <w:tcW w:w="2831" w:type="dxa"/>
            <w:shd w:val="clear" w:color="auto" w:fill="E7E6E6" w:themeFill="background2"/>
          </w:tcPr>
          <w:p w14:paraId="44E4D46E" w14:textId="77D45B6D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Atención al Cliente</w:t>
            </w:r>
          </w:p>
        </w:tc>
        <w:tc>
          <w:tcPr>
            <w:tcW w:w="2831" w:type="dxa"/>
          </w:tcPr>
          <w:p w14:paraId="19B6553B" w14:textId="5A253B2B" w:rsidR="004B6A49" w:rsidRDefault="004B6A49" w:rsidP="004B6A49">
            <w:pPr>
              <w:jc w:val="both"/>
            </w:pPr>
            <w:r>
              <w:t>Garantizar la satisfacción, retención y soporte continuo postventa.</w:t>
            </w:r>
          </w:p>
        </w:tc>
        <w:tc>
          <w:tcPr>
            <w:tcW w:w="2832" w:type="dxa"/>
          </w:tcPr>
          <w:p w14:paraId="02F0870A" w14:textId="7D6DE16B" w:rsidR="004B6A49" w:rsidRDefault="004B6A49" w:rsidP="004B6A49">
            <w:pPr>
              <w:jc w:val="both"/>
            </w:pPr>
            <w:proofErr w:type="spellStart"/>
            <w:r>
              <w:t>C</w:t>
            </w:r>
            <w:r>
              <w:t>hatbots</w:t>
            </w:r>
            <w:proofErr w:type="spellEnd"/>
            <w:r>
              <w:t xml:space="preserve"> con IA generativa</w:t>
            </w:r>
            <w:r>
              <w:t xml:space="preserve"> </w:t>
            </w:r>
            <w:r>
              <w:t>y gestión de tickets basada en tickets inteligentes.</w:t>
            </w:r>
          </w:p>
        </w:tc>
      </w:tr>
      <w:tr w:rsidR="004B6A49" w14:paraId="45989047" w14:textId="77777777" w:rsidTr="004B6A49">
        <w:tc>
          <w:tcPr>
            <w:tcW w:w="2831" w:type="dxa"/>
            <w:shd w:val="clear" w:color="auto" w:fill="E7E6E6" w:themeFill="background2"/>
          </w:tcPr>
          <w:p w14:paraId="23AD083D" w14:textId="0B090B6E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Producción y Operaciones</w:t>
            </w:r>
          </w:p>
        </w:tc>
        <w:tc>
          <w:tcPr>
            <w:tcW w:w="2831" w:type="dxa"/>
          </w:tcPr>
          <w:p w14:paraId="4021DF8E" w14:textId="256F98C3" w:rsidR="004B6A49" w:rsidRDefault="004B6A49" w:rsidP="004B6A49">
            <w:pPr>
              <w:jc w:val="both"/>
            </w:pPr>
            <w:r>
              <w:t>Fabricación, logística, cadena de suministro y control de calidad.</w:t>
            </w:r>
          </w:p>
        </w:tc>
        <w:tc>
          <w:tcPr>
            <w:tcW w:w="2832" w:type="dxa"/>
          </w:tcPr>
          <w:p w14:paraId="6E8A2ACB" w14:textId="42C9473A" w:rsidR="004B6A49" w:rsidRDefault="004B6A49" w:rsidP="004B6A49">
            <w:pPr>
              <w:jc w:val="both"/>
            </w:pPr>
            <w:r>
              <w:t>I</w:t>
            </w:r>
            <w:r>
              <w:t>nternet de las Cosas Industrial, robótica/</w:t>
            </w:r>
            <w:proofErr w:type="spellStart"/>
            <w:r>
              <w:t>cobots</w:t>
            </w:r>
            <w:proofErr w:type="spellEnd"/>
            <w:r>
              <w:t>.</w:t>
            </w:r>
          </w:p>
        </w:tc>
      </w:tr>
      <w:tr w:rsidR="004B6A49" w14:paraId="2256412B" w14:textId="77777777" w:rsidTr="004B6A49">
        <w:tc>
          <w:tcPr>
            <w:tcW w:w="2831" w:type="dxa"/>
            <w:shd w:val="clear" w:color="auto" w:fill="E7E6E6" w:themeFill="background2"/>
          </w:tcPr>
          <w:p w14:paraId="08E3C83E" w14:textId="34639429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Finanzas y Contabilidad</w:t>
            </w:r>
          </w:p>
        </w:tc>
        <w:tc>
          <w:tcPr>
            <w:tcW w:w="2831" w:type="dxa"/>
          </w:tcPr>
          <w:p w14:paraId="25859AD6" w14:textId="5D4E0655" w:rsidR="004B6A49" w:rsidRDefault="004B6A49" w:rsidP="004B6A49">
            <w:pPr>
              <w:jc w:val="both"/>
            </w:pPr>
            <w:r>
              <w:t>Gestión del presupuesto, flujo de caja, tesorería, impuestos y reportes financieros.</w:t>
            </w:r>
          </w:p>
        </w:tc>
        <w:tc>
          <w:tcPr>
            <w:tcW w:w="2832" w:type="dxa"/>
          </w:tcPr>
          <w:p w14:paraId="1191D2F2" w14:textId="3EBE6173" w:rsidR="004B6A49" w:rsidRDefault="004B6A49" w:rsidP="004B6A49">
            <w:pPr>
              <w:jc w:val="both"/>
            </w:pPr>
            <w:r>
              <w:t>Automatización Robótica de Procesos (RPA) para facturación, facturación electrónica.</w:t>
            </w:r>
          </w:p>
        </w:tc>
      </w:tr>
      <w:tr w:rsidR="004B6A49" w14:paraId="07AC674F" w14:textId="77777777" w:rsidTr="004B6A49">
        <w:tc>
          <w:tcPr>
            <w:tcW w:w="2831" w:type="dxa"/>
            <w:shd w:val="clear" w:color="auto" w:fill="E7E6E6" w:themeFill="background2"/>
          </w:tcPr>
          <w:p w14:paraId="620ECB63" w14:textId="16AFCED1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Gestión de Proyectos y Desarrollo de Productos</w:t>
            </w:r>
          </w:p>
        </w:tc>
        <w:tc>
          <w:tcPr>
            <w:tcW w:w="2831" w:type="dxa"/>
          </w:tcPr>
          <w:p w14:paraId="6C9D7AB7" w14:textId="10399BEC" w:rsidR="004B6A49" w:rsidRDefault="004B6A49" w:rsidP="004B6A49">
            <w:pPr>
              <w:jc w:val="both"/>
            </w:pPr>
            <w:r>
              <w:t>Planificación, ejecución y entrega de nuevos proyectos, productos o funcionalidades.</w:t>
            </w:r>
          </w:p>
        </w:tc>
        <w:tc>
          <w:tcPr>
            <w:tcW w:w="2832" w:type="dxa"/>
          </w:tcPr>
          <w:p w14:paraId="7079B1F1" w14:textId="4E71C97B" w:rsidR="004B6A49" w:rsidRDefault="004B6A49" w:rsidP="004B6A49">
            <w:pPr>
              <w:jc w:val="both"/>
            </w:pPr>
            <w:r>
              <w:t>Software de gestión de proyectos, metodologías ágiles y prototipado rápido digital/diseño en la nube.</w:t>
            </w:r>
          </w:p>
        </w:tc>
      </w:tr>
      <w:tr w:rsidR="004B6A49" w14:paraId="6610BA7E" w14:textId="77777777" w:rsidTr="004B6A49">
        <w:tc>
          <w:tcPr>
            <w:tcW w:w="2831" w:type="dxa"/>
            <w:shd w:val="clear" w:color="auto" w:fill="E7E6E6" w:themeFill="background2"/>
          </w:tcPr>
          <w:p w14:paraId="7C0405CE" w14:textId="6A28899B" w:rsidR="004B6A49" w:rsidRPr="004B6A49" w:rsidRDefault="004B6A49" w:rsidP="00516093">
            <w:pPr>
              <w:jc w:val="center"/>
              <w:rPr>
                <w:b/>
                <w:bCs/>
              </w:rPr>
            </w:pPr>
            <w:r w:rsidRPr="004B6A49">
              <w:rPr>
                <w:b/>
                <w:bCs/>
              </w:rPr>
              <w:t>Cumplimiento y Seguridad Cibernética</w:t>
            </w:r>
          </w:p>
        </w:tc>
        <w:tc>
          <w:tcPr>
            <w:tcW w:w="2831" w:type="dxa"/>
          </w:tcPr>
          <w:p w14:paraId="415FB44F" w14:textId="2B5116F4" w:rsidR="004B6A49" w:rsidRDefault="004B6A49" w:rsidP="004B6A49">
            <w:pPr>
              <w:jc w:val="both"/>
            </w:pPr>
            <w:r>
              <w:t>Proteger los activos digitales, garantizar la privacidad de datos y cumplir regulaciones</w:t>
            </w:r>
            <w:r>
              <w:t>.</w:t>
            </w:r>
          </w:p>
        </w:tc>
        <w:tc>
          <w:tcPr>
            <w:tcW w:w="2832" w:type="dxa"/>
          </w:tcPr>
          <w:p w14:paraId="0F9519F0" w14:textId="6FA0B912" w:rsidR="004B6A49" w:rsidRDefault="004B6A49" w:rsidP="004B6A49">
            <w:pPr>
              <w:jc w:val="both"/>
            </w:pPr>
            <w:r>
              <w:t>S</w:t>
            </w:r>
            <w:r>
              <w:t>istemas de prevención de amenazas</w:t>
            </w:r>
            <w:r>
              <w:t xml:space="preserve"> y </w:t>
            </w:r>
            <w:r>
              <w:t>auditorías automatizadas.</w:t>
            </w:r>
          </w:p>
        </w:tc>
      </w:tr>
    </w:tbl>
    <w:p w14:paraId="14BBBF79" w14:textId="77777777" w:rsidR="00761693" w:rsidRDefault="00761693"/>
    <w:sectPr w:rsidR="007616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49"/>
    <w:rsid w:val="0005448D"/>
    <w:rsid w:val="00110811"/>
    <w:rsid w:val="004B6A49"/>
    <w:rsid w:val="00516093"/>
    <w:rsid w:val="00626E56"/>
    <w:rsid w:val="0076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9EE31"/>
  <w15:chartTrackingRefBased/>
  <w15:docId w15:val="{5798ED76-2E22-4353-B744-97A56A6AF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6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Hernández Sánchez</dc:creator>
  <cp:keywords/>
  <dc:description/>
  <cp:lastModifiedBy>Rodrigo Hernández Sánchez</cp:lastModifiedBy>
  <cp:revision>2</cp:revision>
  <cp:lastPrinted>2026-10-13T07:05:00Z</cp:lastPrinted>
  <dcterms:created xsi:type="dcterms:W3CDTF">2026-10-13T07:06:00Z</dcterms:created>
  <dcterms:modified xsi:type="dcterms:W3CDTF">2026-10-13T07:06:00Z</dcterms:modified>
</cp:coreProperties>
</file>