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20" w:after="120" w:line="240"/>
        <w:ind w:right="0" w:left="0" w:firstLine="0"/>
        <w:jc w:val="center"/>
        <w:rPr>
          <w:rFonts w:ascii="Calibri" w:hAnsi="Calibri" w:cs="Calibri" w:eastAsia="Calibri"/>
          <w:b/>
          <w:caps w:val="true"/>
          <w:color w:val="auto"/>
          <w:spacing w:val="0"/>
          <w:position w:val="0"/>
          <w:sz w:val="40"/>
          <w:shd w:fill="auto" w:val="clear"/>
        </w:rPr>
      </w:pPr>
      <w:r>
        <w:rPr>
          <w:rFonts w:ascii="Calibri" w:hAnsi="Calibri" w:cs="Calibri" w:eastAsia="Calibri"/>
          <w:b/>
          <w:caps w:val="true"/>
          <w:color w:val="auto"/>
          <w:spacing w:val="0"/>
          <w:position w:val="0"/>
          <w:sz w:val="40"/>
          <w:shd w:fill="auto" w:val="clear"/>
        </w:rPr>
        <w:t xml:space="preserve">relatório track flow</w:t>
      </w:r>
    </w:p>
    <w:p>
      <w:pPr>
        <w:spacing w:before="120" w:after="120" w:line="240"/>
        <w:ind w:right="0" w:left="284" w:firstLine="567"/>
        <w:jc w:val="both"/>
        <w:rPr>
          <w:rFonts w:ascii="Calibri" w:hAnsi="Calibri" w:cs="Calibri" w:eastAsia="Calibri"/>
          <w:color w:val="auto"/>
          <w:spacing w:val="0"/>
          <w:position w:val="0"/>
          <w:sz w:val="24"/>
          <w:shd w:fill="auto" w:val="clear"/>
        </w:rPr>
      </w:pPr>
    </w:p>
    <w:p>
      <w:pPr>
        <w:spacing w:before="120" w:after="120" w:line="240"/>
        <w:ind w:right="0" w:left="284"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Artur Mota Siqueira (linkedin)</w:t>
      </w:r>
    </w:p>
    <w:p>
      <w:pPr>
        <w:spacing w:before="120" w:after="120" w:line="240"/>
        <w:ind w:right="0" w:left="284"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Gabriel 2 (linkedin)</w:t>
      </w:r>
    </w:p>
    <w:p>
      <w:pPr>
        <w:spacing w:before="120" w:after="120" w:line="240"/>
        <w:ind w:right="0" w:left="284"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Kauan Daniel Xavier de Assis (linkedin)</w:t>
      </w:r>
    </w:p>
    <w:p>
      <w:pPr>
        <w:spacing w:before="120" w:after="120" w:line="240"/>
        <w:ind w:right="0" w:left="284"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Leonardo da costa balieiro (linkedin)</w:t>
      </w:r>
    </w:p>
    <w:p>
      <w:pPr>
        <w:spacing w:before="120" w:after="120" w:line="240"/>
        <w:ind w:right="0" w:left="284"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Nikolas Carlos de Maura (linkedin)</w:t>
      </w:r>
    </w:p>
    <w:p>
      <w:pPr>
        <w:spacing w:before="120" w:after="120" w:line="240"/>
        <w:ind w:right="0" w:left="284"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Rodrigo Azevedo de Menezes(linkedin)</w:t>
      </w:r>
    </w:p>
    <w:p>
      <w:pPr>
        <w:spacing w:before="120" w:after="120" w:line="240"/>
        <w:ind w:right="0" w:left="284"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Victor Miguel de Oliveira Rodrigues (linkedin)</w:t>
      </w:r>
    </w:p>
    <w:p>
      <w:pPr>
        <w:spacing w:before="120" w:after="120" w:line="240"/>
        <w:ind w:right="0" w:left="284"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Willian Duarte de Paula Ortiz (linkedin)</w:t>
      </w:r>
    </w:p>
    <w:p>
      <w:pPr>
        <w:spacing w:before="120" w:after="120" w:line="240"/>
        <w:ind w:right="0" w:left="0" w:firstLine="0"/>
        <w:jc w:val="both"/>
        <w:rPr>
          <w:rFonts w:ascii="Calibri" w:hAnsi="Calibri" w:cs="Calibri" w:eastAsia="Calibri"/>
          <w:color w:val="auto"/>
          <w:spacing w:val="0"/>
          <w:position w:val="0"/>
          <w:sz w:val="24"/>
          <w:shd w:fill="auto" w:val="clear"/>
        </w:rPr>
      </w:pPr>
    </w:p>
    <w:p>
      <w:pPr>
        <w:spacing w:before="120" w:after="120" w:line="240"/>
        <w:ind w:right="0" w:left="284"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Professor M2 ou Orientador: José Jaétis Rosário</w:t>
      </w:r>
    </w:p>
    <w:p>
      <w:pPr>
        <w:spacing w:before="120" w:after="120" w:line="240"/>
        <w:ind w:right="0" w:left="284"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Professor P2: Marcus Vinícius do Nascimento </w:t>
      </w:r>
    </w:p>
    <w:p>
      <w:pPr>
        <w:spacing w:before="120" w:after="120" w:line="360"/>
        <w:ind w:right="0" w:left="0" w:firstLine="0"/>
        <w:jc w:val="both"/>
        <w:rPr>
          <w:rFonts w:ascii="Calibri" w:hAnsi="Calibri" w:cs="Calibri" w:eastAsia="Calibri"/>
          <w:color w:val="auto"/>
          <w:spacing w:val="0"/>
          <w:position w:val="0"/>
          <w:sz w:val="24"/>
          <w:shd w:fill="auto" w:val="clear"/>
        </w:rPr>
      </w:pPr>
    </w:p>
    <w:p>
      <w:pPr>
        <w:spacing w:before="120" w:after="120" w:line="360"/>
        <w:ind w:right="0" w:left="284" w:firstLine="0"/>
        <w:jc w:val="both"/>
        <w:rPr>
          <w:rFonts w:ascii="Calibri" w:hAnsi="Calibri" w:cs="Calibri" w:eastAsia="Calibri"/>
          <w:color w:val="FF0000"/>
          <w:spacing w:val="0"/>
          <w:position w:val="0"/>
          <w:sz w:val="24"/>
          <w:shd w:fill="auto" w:val="clear"/>
        </w:rPr>
      </w:pPr>
      <w:r>
        <w:rPr>
          <w:rFonts w:ascii="Calibri" w:hAnsi="Calibri" w:cs="Calibri" w:eastAsia="Calibri"/>
          <w:color w:val="auto"/>
          <w:spacing w:val="0"/>
          <w:position w:val="0"/>
          <w:sz w:val="24"/>
          <w:shd w:fill="auto" w:val="clear"/>
        </w:rPr>
        <w:t xml:space="preserve">Resumo do projeto</w:t>
      </w: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 projeto Trackflow consiste no desenvolvimento de uma plataforma de Business Intelligence (BI) voltada para a análise estratégica do comércio exterior de municípios do Estado de São Paulo, com ênfase em São José dos Campos. Esta iniciativa busca transformar dados brutos do Ministério do Desenvolvimento, Indústria, Comércio e Serviços em informações acessíveis que permitam avaliar a balança comercial, os principais produtos movimentados e os atores regionais. O processo de trabalho adota o framework ágil Scrum, organizando o desenvolvimento em sprints com metas claras e imutáveis para garantir entregas iterativas de valor ao cliente. A arquitetura técnica utiliza o Google Colab para a normalização e limpeza obrigatória dos dados, empregando o back-end em Python para assegurar escalabilidade e automação no tratamento das massas de dados. O projeto implementa o front-end no Power BI para a criação de dashboards robustos, enquanto utiliza o GitHub para o versionamento e a rastreabilidade das alterações realizadas pela equipe de desenvolvimento. A plataforma disponibiliza módulos de segmentação municipal que detalham as cargas movimentadas e apresentam rankings por valor agregado, permitindo o monitoramento de tendências históricas e a análise granular por categorias de produtos. O sistema oferece uma interface intuitiva e responsiva, o que garante a mobilidade do gestor público ao possibilitar consultas em tempo real por meio de diversos dispositivos. A análise dos resultados evidencia a vocação exportadora local e a relevância comercial de cada cidade dentro do cenário logístico do estado. Por fim, a ferramenta consolida-se como um suporte estratégico fundamental para a tomada de decisão de empresas que buscam se instalar na região, facilitando o mapeamento de vantagens competitivas e logísticas. </w:t>
      </w: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Abstract:</w:t>
      </w:r>
    </w:p>
    <w:p>
      <w:pPr>
        <w:spacing w:before="120" w:after="120" w:line="360"/>
        <w:ind w:right="0" w:left="284" w:firstLine="568"/>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Trackflow project consists of developing a Business Intelligence (BI) platform focused on the strategic analysis of foreign trade in municipalities of the State of São Paulo, with an emphasis on São José dos Campos. This initiative seeks to transform raw data from the Ministry of Development, Industry, Trade and Services into accessible information that allows for the evaluation of the trade balance, the main products traded, and the regional actors. The work process adopts the Scrum agile framework, organizing development into sprints with clear and immutable goals to ensure iterative deliveries of value to the client. The technical architecture uses Google Colab for the mandatory normalization and cleaning of data, employing a Python back-end to ensure scalability and automation in the processing of large datasets. The project implements the front-end in Power BI for the creation of robust dashboards, while using GitHub for versioning and traceability of changes made by the development team. The platform provides municipal segmentation modules that detail the cargo traded and present rankings by added value, allowing for the monitoring of historical trends and granular analysis by product categories. The system offers an intuitive and responsive interface, ensuring the mobility of public managers by enabling real-time queries through various devices. Analysis of the results highlights the local export potential and the commercial relevance of each city within the state's logistics landscape. Finally, the tool establishes itself as a fundamental strategic support for decision-making by companies seeking to establish themselves in the region, facilitating the mapping of competitive and logistical advantages.</w:t>
      </w:r>
    </w:p>
    <w:p>
      <w:pPr>
        <w:spacing w:before="120" w:after="120" w:line="360"/>
        <w:ind w:right="0" w:left="0" w:firstLine="284"/>
        <w:jc w:val="both"/>
        <w:rPr>
          <w:rFonts w:ascii="Calibri" w:hAnsi="Calibri" w:cs="Calibri" w:eastAsia="Calibri"/>
          <w:color w:val="auto"/>
          <w:spacing w:val="0"/>
          <w:position w:val="0"/>
          <w:sz w:val="20"/>
          <w:shd w:fill="auto" w:val="clear"/>
        </w:rPr>
      </w:pPr>
    </w:p>
    <w:p>
      <w:pPr>
        <w:spacing w:before="120" w:after="120" w:line="360"/>
        <w:ind w:right="0" w:left="0" w:firstLine="284"/>
        <w:jc w:val="both"/>
        <w:rPr>
          <w:rFonts w:ascii="Calibri" w:hAnsi="Calibri" w:cs="Calibri" w:eastAsia="Calibri"/>
          <w:color w:val="auto"/>
          <w:spacing w:val="0"/>
          <w:position w:val="0"/>
          <w:sz w:val="20"/>
          <w:shd w:fill="auto" w:val="clear"/>
        </w:rPr>
      </w:pPr>
    </w:p>
    <w:p>
      <w:pPr>
        <w:spacing w:before="120" w:after="120" w:line="360"/>
        <w:ind w:right="0" w:left="0" w:firstLine="284"/>
        <w:jc w:val="both"/>
        <w:rPr>
          <w:rFonts w:ascii="Calibri" w:hAnsi="Calibri" w:cs="Calibri" w:eastAsia="Calibri"/>
          <w:color w:val="auto"/>
          <w:spacing w:val="0"/>
          <w:position w:val="0"/>
          <w:sz w:val="24"/>
          <w:shd w:fill="auto" w:val="clear"/>
        </w:rPr>
      </w:pPr>
    </w:p>
    <w:p>
      <w:pPr>
        <w:keepLines w:val="true"/>
        <w:numPr>
          <w:ilvl w:val="0"/>
          <w:numId w:val="11"/>
        </w:numPr>
        <w:spacing w:before="120" w:after="120" w:line="240"/>
        <w:ind w:right="0" w:left="648" w:hanging="360"/>
        <w:jc w:val="both"/>
        <w:rPr>
          <w:rFonts w:ascii="Calibri" w:hAnsi="Calibri" w:cs="Calibri" w:eastAsia="Calibri"/>
          <w:b/>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Contextualização do projeto</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 cenário do comércio exterior brasileiro é marcado pelo crescimento da competitividade e pela necessidade constante de modernização e facilitação das operações globais. Nesse panorama, a logística de transporte, especificamente a portuária, assume um papel indispensável e diretamente responsável pelo desenvolvimento das indústrias instaladas no país, conforme apontado por Elias (2009). No entanto, a eficiência operacional desse ecossistema depende intrinsecamente da capacidade de processar informações precisas em tempo real para mitigar a burocracia aduaneira. Complementarmente, Santos et al. (2024) destacam que o surgimento da internet e a disseminação das Tecnologias da Informação e Comunicação (TICs) impactaram profundamente as relações comerciais entre as nações. O reflexo prático dessa evolução se dá em ferramentas como o sistema Siscomex, que automatiza e integra os procedimentos de controle, permitindo que as empresas realizem transações de forma mais ágil, segura e com uma redução significativa nos prazos de despacho, garantindo a rastreabilidade por meio de um fluxo único de informações.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Dentro deste contexto nacional, o estado de São Paulo consolida-se como o principal motor econômico do país, tendo o município de São José dos Campos (SJC) como um polo industrial e tecnológico altamente estratégico. Apesar da relevância da região, a complexidade e o expressivo volume de dados brutos disponibilizados publicamente pelo Ministério do Desenvolvimento, Indústria, Comércio e Serviços (MDIC) frequentemente dificultam a extração rápida de </w:t>
      </w:r>
      <w:r>
        <w:rPr>
          <w:rFonts w:ascii="Times New Roman" w:hAnsi="Times New Roman" w:cs="Times New Roman" w:eastAsia="Times New Roman"/>
          <w:i/>
          <w:color w:val="auto"/>
          <w:spacing w:val="0"/>
          <w:position w:val="0"/>
          <w:sz w:val="24"/>
          <w:shd w:fill="auto" w:val="clear"/>
        </w:rPr>
        <w:t xml:space="preserve">insights</w:t>
      </w:r>
      <w:r>
        <w:rPr>
          <w:rFonts w:ascii="Times New Roman" w:hAnsi="Times New Roman" w:cs="Times New Roman" w:eastAsia="Times New Roman"/>
          <w:color w:val="auto"/>
          <w:spacing w:val="0"/>
          <w:position w:val="0"/>
          <w:sz w:val="24"/>
          <w:shd w:fill="auto" w:val="clear"/>
        </w:rPr>
        <w:t xml:space="preserve"> por parte de gestores públicos e investidores privados interessados em mapear a vocação exportadora e a relevância comercial local. É para solucionar o desafio de transformar essa densa massa de dados governamentais em visões estratégicas acessíveis que surge a plataforma Trackflow.</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 projeto Trackflow consiste em uma solução de </w:t>
      </w:r>
      <w:r>
        <w:rPr>
          <w:rFonts w:ascii="Times New Roman" w:hAnsi="Times New Roman" w:cs="Times New Roman" w:eastAsia="Times New Roman"/>
          <w:i/>
          <w:color w:val="auto"/>
          <w:spacing w:val="0"/>
          <w:position w:val="0"/>
          <w:sz w:val="24"/>
          <w:shd w:fill="auto" w:val="clear"/>
        </w:rPr>
        <w:t xml:space="preserve">Business Intelligence</w:t>
      </w:r>
      <w:r>
        <w:rPr>
          <w:rFonts w:ascii="Times New Roman" w:hAnsi="Times New Roman" w:cs="Times New Roman" w:eastAsia="Times New Roman"/>
          <w:color w:val="auto"/>
          <w:spacing w:val="0"/>
          <w:position w:val="0"/>
          <w:sz w:val="24"/>
          <w:shd w:fill="auto" w:val="clear"/>
        </w:rPr>
        <w:t xml:space="preserve"> (BI) projetada para realizar a ingestão automatizada e o tratamento estruturado dessas bases de dados aduaneiras, transformando-as em </w:t>
      </w:r>
      <w:r>
        <w:rPr>
          <w:rFonts w:ascii="Times New Roman" w:hAnsi="Times New Roman" w:cs="Times New Roman" w:eastAsia="Times New Roman"/>
          <w:i/>
          <w:color w:val="auto"/>
          <w:spacing w:val="0"/>
          <w:position w:val="0"/>
          <w:sz w:val="24"/>
          <w:shd w:fill="auto" w:val="clear"/>
        </w:rPr>
        <w:t xml:space="preserve">dashboards</w:t>
      </w:r>
      <w:r>
        <w:rPr>
          <w:rFonts w:ascii="Times New Roman" w:hAnsi="Times New Roman" w:cs="Times New Roman" w:eastAsia="Times New Roman"/>
          <w:color w:val="auto"/>
          <w:spacing w:val="0"/>
          <w:position w:val="0"/>
          <w:sz w:val="24"/>
          <w:shd w:fill="auto" w:val="clear"/>
        </w:rPr>
        <w:t xml:space="preserve"> interativos e responsivos no Power BI. Desenvolvido sob o respaldo de metodologias ágeis como o Scrum, o projeto foca no detalhamento das cargas movimentadas, em rankings por valor agregado e no monitoramento evolutivo da balança comercial da Região Metropolitana do Vale do Paraíba, com ênfase em São José dos Campos.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relevância deste estudo para a área de logística fundamenta-se, portanto, no fornecimento de um suporte estratégico capaz de identificar vantagens competitivas e sinergias logísticas entre os municípios paulistas. Ao viabilizar o cruzamento do volume de carga exportada com as respectivas vias e modais de transporte, a ferramenta auxilia diretamente na detecção de necessidades urgentes de ampliação da infraestrutura regional e no entendimento profundo das cadeias produtivas locais. Assim, a plataforma Trackflow atua como um instrumento crítico e dinâmico de tomada de decisão para empresas e gestores que buscam otimizar o fluxo de mercadorias no cenário logístico paulista.</w:t>
      </w:r>
    </w:p>
    <w:p>
      <w:pPr>
        <w:keepLines w:val="true"/>
        <w:numPr>
          <w:ilvl w:val="0"/>
          <w:numId w:val="13"/>
        </w:numPr>
        <w:spacing w:before="120" w:after="120" w:line="240"/>
        <w:ind w:right="0" w:left="648" w:hanging="360"/>
        <w:jc w:val="both"/>
        <w:rPr>
          <w:rFonts w:ascii="Calibri" w:hAnsi="Calibri" w:cs="Calibri" w:eastAsia="Calibri"/>
          <w:color w:val="auto"/>
          <w:spacing w:val="0"/>
          <w:position w:val="0"/>
          <w:sz w:val="24"/>
          <w:u w:val="single"/>
          <w:shd w:fill="auto" w:val="clear"/>
        </w:rPr>
      </w:pPr>
      <w:r>
        <w:rPr>
          <w:rFonts w:ascii="Calibri" w:hAnsi="Calibri" w:cs="Calibri" w:eastAsia="Calibri"/>
          <w:b/>
          <w:color w:val="000000"/>
          <w:spacing w:val="0"/>
          <w:position w:val="0"/>
          <w:sz w:val="24"/>
          <w:shd w:fill="auto" w:val="clear"/>
        </w:rPr>
        <w:t xml:space="preserve">Objetivos do projeto</w:t>
      </w:r>
      <w:r>
        <w:rPr>
          <w:rFonts w:ascii="Calibri" w:hAnsi="Calibri" w:cs="Calibri" w:eastAsia="Calibri"/>
          <w:color w:val="auto"/>
          <w:spacing w:val="0"/>
          <w:position w:val="0"/>
          <w:sz w:val="24"/>
          <w:u w:val="single"/>
          <w:shd w:fill="auto" w:val="clear"/>
        </w:rPr>
        <w:t xml:space="preserve"> :</w:t>
      </w: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Os objetivos estabelecidos para o desenvolvimento do projeto TrackFlow consistem em:</w:t>
      </w:r>
    </w:p>
    <w:p>
      <w:pPr>
        <w:spacing w:before="120" w:after="120" w:line="240"/>
        <w:ind w:right="0" w:left="284" w:firstLine="567"/>
        <w:jc w:val="both"/>
        <w:rPr>
          <w:rFonts w:ascii="Calibri" w:hAnsi="Calibri" w:cs="Calibri" w:eastAsia="Calibri"/>
          <w:color w:val="auto"/>
          <w:spacing w:val="0"/>
          <w:position w:val="0"/>
          <w:sz w:val="24"/>
          <w:shd w:fill="auto" w:val="clear"/>
        </w:rPr>
      </w:pP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 Desenvolver uma plataforma de Business Intelligence para análise do comércio exterior dos municípios do Estado de São Paulo, com um  foco maior em São José dos Campos e na Região Metropolitana do Vale do Paraíba durante o periodo de fevereiro de 2021 até fevereiro de 2026;</w:t>
      </w:r>
    </w:p>
    <w:p>
      <w:pPr>
        <w:spacing w:before="120" w:after="120" w:line="240"/>
        <w:ind w:right="0" w:left="284" w:firstLine="567"/>
        <w:jc w:val="both"/>
        <w:rPr>
          <w:rFonts w:ascii="Calibri" w:hAnsi="Calibri" w:cs="Calibri" w:eastAsia="Calibri"/>
          <w:color w:val="auto"/>
          <w:spacing w:val="0"/>
          <w:position w:val="0"/>
          <w:sz w:val="24"/>
          <w:shd w:fill="auto" w:val="clear"/>
        </w:rPr>
      </w:pP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ii) Realizar a coleta, tratamento, normalização e integração de dados públicos disponibilizados pelo Ministério do Desenvolvimento, Indústria, Comércio e Serviços (MDIC);</w:t>
      </w:r>
    </w:p>
    <w:p>
      <w:pPr>
        <w:spacing w:before="120" w:after="120" w:line="240"/>
        <w:ind w:right="0" w:left="284" w:firstLine="567"/>
        <w:jc w:val="both"/>
        <w:rPr>
          <w:rFonts w:ascii="Calibri" w:hAnsi="Calibri" w:cs="Calibri" w:eastAsia="Calibri"/>
          <w:color w:val="auto"/>
          <w:spacing w:val="0"/>
          <w:position w:val="0"/>
          <w:sz w:val="24"/>
          <w:shd w:fill="auto" w:val="clear"/>
        </w:rPr>
      </w:pP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iii) Aplicar técnicas de análise de dados para identificar os principais produtos exportados e importados, bem como os municípios com maior participação nas operações de comércio exterior;</w:t>
      </w:r>
    </w:p>
    <w:p>
      <w:pPr>
        <w:spacing w:before="120" w:after="120" w:line="240"/>
        <w:ind w:right="0" w:left="284" w:firstLine="567"/>
        <w:jc w:val="both"/>
        <w:rPr>
          <w:rFonts w:ascii="Calibri" w:hAnsi="Calibri" w:cs="Calibri" w:eastAsia="Calibri"/>
          <w:color w:val="auto"/>
          <w:spacing w:val="0"/>
          <w:position w:val="0"/>
          <w:sz w:val="24"/>
          <w:shd w:fill="auto" w:val="clear"/>
        </w:rPr>
      </w:pP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iv) Desenvolver dashboards interativos no Power BI que permitam a visualização intuitiva de indicadores logísticos e econômicos;</w:t>
      </w:r>
    </w:p>
    <w:p>
      <w:pPr>
        <w:spacing w:before="120" w:after="120" w:line="240"/>
        <w:ind w:right="0" w:left="284" w:firstLine="567"/>
        <w:jc w:val="both"/>
        <w:rPr>
          <w:rFonts w:ascii="Calibri" w:hAnsi="Calibri" w:cs="Calibri" w:eastAsia="Calibri"/>
          <w:color w:val="auto"/>
          <w:spacing w:val="0"/>
          <w:position w:val="0"/>
          <w:sz w:val="24"/>
          <w:shd w:fill="auto" w:val="clear"/>
        </w:rPr>
      </w:pP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 Disponibilizar informações estratégicas que auxiliem gestores públicos, empresas e investidores na tomada de decisões relacionadas à logística e ao desenvolvimento regional.</w:t>
      </w:r>
    </w:p>
    <w:p>
      <w:pPr>
        <w:keepLines w:val="true"/>
        <w:numPr>
          <w:ilvl w:val="0"/>
          <w:numId w:val="15"/>
        </w:numPr>
        <w:spacing w:before="120" w:after="120" w:line="240"/>
        <w:ind w:right="0" w:left="648" w:hanging="360"/>
        <w:jc w:val="both"/>
        <w:rPr>
          <w:rFonts w:ascii="Calibri" w:hAnsi="Calibri" w:cs="Calibri" w:eastAsia="Calibri"/>
          <w:b/>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Fundamentação dos métodos analíticos e das tecnologias utilizadas </w:t>
      </w: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 TrackFlow é um projeto que se baseia nas ideias de Inteligência de Negócios (BI) e análise exploratória de dados, abordagens comuns para converter vastos conjuntos de dados em inteligência valiosa que auxilia na tomada de decisões. Conforme Turban e colaboradores (2018), sistemas de BI ajudam a juntar, arrumar e apresentar dados de diversas origens, tornando mais fácil perceber padrões e tendências importantes para organizações tanto do setor público quanto do privado. Dentro do escopo do projeto, empregamos métodos de análise descritiva para entender como as exportações e importações se comportaram ao longo do tempo. Tais análises nos deram uma visão clara do desenvolvimento da balança comercial dos municípios investigados e ajudaram a apontar as áreas econômicas mais significativas. Adicionalmente, usamos técnicas para agrupar os dados por município, tipo de produto e período de tempo, o que viabilizou comparações entre as diversas cidades da região. A aplicação de classificações e métricas consolidadas foi crucial para evidenciar os produtos mais negociados e os municípios com a maior participação no comércio internacional. A forma como o projeto foi conduzido também incluiu processos de Extração, Transformação e Carga (ETL), essenciais para garantir a confiabilidade dos dados que usamos. Esses passos ajudam a remover falhas, corrigir dados que faltam e unificar informações de diferentes fontes oficiais.</w:t>
      </w:r>
    </w:p>
    <w:p>
      <w:pPr>
        <w:spacing w:before="120" w:after="120" w:line="240"/>
        <w:ind w:right="0" w:left="284" w:firstLine="567"/>
        <w:jc w:val="both"/>
        <w:rPr>
          <w:rFonts w:ascii="Calibri" w:hAnsi="Calibri" w:cs="Calibri" w:eastAsia="Calibri"/>
          <w:color w:val="auto"/>
          <w:spacing w:val="0"/>
          <w:position w:val="0"/>
          <w:sz w:val="24"/>
          <w:shd w:fill="auto" w:val="clear"/>
        </w:rPr>
      </w:pPr>
    </w:p>
    <w:p>
      <w:pPr>
        <w:spacing w:before="120" w:after="120" w:line="240"/>
        <w:ind w:right="0" w:left="284" w:firstLine="567"/>
        <w:jc w:val="both"/>
        <w:rPr>
          <w:rFonts w:ascii="Calibri" w:hAnsi="Calibri" w:cs="Calibri" w:eastAsia="Calibri"/>
          <w:color w:val="auto"/>
          <w:spacing w:val="0"/>
          <w:position w:val="0"/>
          <w:sz w:val="24"/>
          <w:shd w:fill="auto" w:val="clear"/>
        </w:rPr>
      </w:pPr>
    </w:p>
    <w:p>
      <w:pPr>
        <w:keepNext w:val="true"/>
        <w:numPr>
          <w:ilvl w:val="0"/>
          <w:numId w:val="17"/>
        </w:numPr>
        <w:spacing w:before="120" w:after="120" w:line="240"/>
        <w:ind w:right="0" w:left="964" w:hanging="567"/>
        <w:jc w:val="both"/>
        <w:rPr>
          <w:rFonts w:ascii="Calibri" w:hAnsi="Calibri" w:cs="Calibri" w:eastAsia="Calibri"/>
          <w: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Métodos analíticos utilizados</w:t>
      </w: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As abordagens analíticas adotadas pelo projeto TrackFlow focam primordialmente na exploração de dados (EDA) e em ferramentas de Business Intelligence (BI), visando converter massivas quantidades de dados brutos em subsídios valiosos para a tomada de decisões. O primeiro passo envolveu a higienização, uniformização e consolidação dos dados de comércio exterior fornecidos pelo MDIC. Posteriormente, aplicaram-se técnicas de agrupamento e sumarização dos dados por localidade, intervalo de tempo e tipo de mercadoria, possibilitando o reconhecimento de tendências de exportação e importação na área metropolitana do Vale do Paraíba. Indicadores de performance, classificações por volume de negócios e comparações entre municípios também foram empregados para evidenciar a importância econômica de cada centro urbano. Graças a essas metodologias, foi viável entender movimentos históricos, detectar áreas com maior participação no comércio internacional e produzir inteligência direcionada a administradores públicos, empreendedores e investidores focados no aprimoramento logístico e econômico da região.</w:t>
      </w:r>
    </w:p>
    <w:p>
      <w:pPr>
        <w:keepNext w:val="true"/>
        <w:spacing w:before="120" w:after="120" w:line="240"/>
        <w:ind w:right="0" w:left="284" w:firstLine="567"/>
        <w:jc w:val="both"/>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Tabela 1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Tabela de referências</w:t>
      </w:r>
    </w:p>
    <w:tbl>
      <w:tblPr/>
      <w:tblGrid>
        <w:gridCol w:w="2147"/>
        <w:gridCol w:w="1956"/>
        <w:gridCol w:w="1585"/>
        <w:gridCol w:w="3600"/>
      </w:tblGrid>
      <w:tr>
        <w:trPr>
          <w:trHeight w:val="320" w:hRule="auto"/>
          <w:jc w:val="left"/>
        </w:trPr>
        <w:tc>
          <w:tcPr>
            <w:tcW w:w="2147" w:type="dxa"/>
            <w:tcBorders>
              <w:top w:val="single" w:color="000000" w:sz="0"/>
              <w:left w:val="single" w:color="000000" w:sz="0"/>
              <w:bottom w:val="single" w:color="000000" w:sz="8"/>
              <w:right w:val="single" w:color="000000" w:sz="0"/>
            </w:tcBorders>
            <w:shd w:color="000000" w:fill="d9d9d9"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Autor(es)</w:t>
            </w:r>
          </w:p>
        </w:tc>
        <w:tc>
          <w:tcPr>
            <w:tcW w:w="1956" w:type="dxa"/>
            <w:tcBorders>
              <w:top w:val="single" w:color="000000" w:sz="0"/>
              <w:left w:val="single" w:color="000000" w:sz="0"/>
              <w:bottom w:val="single" w:color="000000" w:sz="8"/>
              <w:right w:val="single" w:color="000000" w:sz="0"/>
            </w:tcBorders>
            <w:shd w:color="000000" w:fill="d9d9d9"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Métodos de análise</w:t>
            </w:r>
          </w:p>
        </w:tc>
        <w:tc>
          <w:tcPr>
            <w:tcW w:w="1585" w:type="dxa"/>
            <w:tcBorders>
              <w:top w:val="single" w:color="000000" w:sz="0"/>
              <w:left w:val="single" w:color="000000" w:sz="0"/>
              <w:bottom w:val="single" w:color="000000" w:sz="8"/>
              <w:right w:val="single" w:color="000000" w:sz="0"/>
            </w:tcBorders>
            <w:shd w:color="000000" w:fill="d9d9d9"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Dados utilizados</w:t>
            </w:r>
          </w:p>
        </w:tc>
        <w:tc>
          <w:tcPr>
            <w:tcW w:w="3600" w:type="dxa"/>
            <w:tcBorders>
              <w:top w:val="single" w:color="000000" w:sz="0"/>
              <w:left w:val="single" w:color="000000" w:sz="0"/>
              <w:bottom w:val="single" w:color="000000" w:sz="8"/>
              <w:right w:val="single" w:color="000000" w:sz="0"/>
            </w:tcBorders>
            <w:shd w:color="000000" w:fill="d9d9d9"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Principais conclusões</w:t>
            </w:r>
          </w:p>
        </w:tc>
      </w:tr>
      <w:tr>
        <w:trPr>
          <w:trHeight w:val="2520" w:hRule="auto"/>
          <w:jc w:val="left"/>
        </w:trPr>
        <w:tc>
          <w:tcPr>
            <w:tcW w:w="2147" w:type="dxa"/>
            <w:tcBorders>
              <w:top w:val="single" w:color="000000" w:sz="0"/>
              <w:left w:val="single" w:color="000000" w:sz="0"/>
              <w:bottom w:val="single" w:color="000000" w:sz="4"/>
              <w:right w:val="single" w:color="000000" w:sz="0"/>
            </w:tcBorders>
            <w:shd w:color="000000" w:fill="d9d9d9"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Castillo-Manzano (2010)</w:t>
            </w:r>
          </w:p>
        </w:tc>
        <w:tc>
          <w:tcPr>
            <w:tcW w:w="1956" w:type="dxa"/>
            <w:tcBorders>
              <w:top w:val="single" w:color="000000" w:sz="0"/>
              <w:left w:val="single" w:color="000000" w:sz="0"/>
              <w:bottom w:val="single" w:color="000000" w:sz="4"/>
              <w:right w:val="single" w:color="000000" w:sz="0"/>
            </w:tcBorders>
            <w:shd w:color="000000" w:fill="d9d9d9"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Regressão linear e modelo PROBIT-LOGIT</w:t>
            </w:r>
          </w:p>
        </w:tc>
        <w:tc>
          <w:tcPr>
            <w:tcW w:w="1585" w:type="dxa"/>
            <w:tcBorders>
              <w:top w:val="single" w:color="000000" w:sz="0"/>
              <w:left w:val="single" w:color="000000" w:sz="0"/>
              <w:bottom w:val="single" w:color="000000" w:sz="4"/>
              <w:right w:val="single" w:color="000000" w:sz="0"/>
            </w:tcBorders>
            <w:shd w:color="000000" w:fill="d9d9d9"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20383 observações</w:t>
            </w:r>
          </w:p>
        </w:tc>
        <w:tc>
          <w:tcPr>
            <w:tcW w:w="3600" w:type="dxa"/>
            <w:tcBorders>
              <w:top w:val="single" w:color="000000" w:sz="0"/>
              <w:left w:val="single" w:color="000000" w:sz="0"/>
              <w:bottom w:val="single" w:color="000000" w:sz="4"/>
              <w:right w:val="single" w:color="000000" w:sz="0"/>
            </w:tcBorders>
            <w:shd w:color="000000" w:fill="d9d9d9" w:val="clear"/>
            <w:tcMar>
              <w:left w:w="108" w:type="dxa"/>
              <w:right w:w="108"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0"/>
                <w:shd w:fill="auto" w:val="clear"/>
              </w:rPr>
              <w:t xml:space="preserve">- O tempo de espera no terminal antes do embarque tem um impacto significativo na disposição para consumo.</w:t>
              <w:br/>
              <w:t xml:space="preserve">- Os gastos aumentam à medida que o tempo de espera aumenta.</w:t>
              <w:br/>
              <w:t xml:space="preserve">- A gestão que visa maximizar as receitas não relacionadas à aviação deve buscar minimizar o tempo que o passageiro passa em "procedimentos de aviação", como check-in, verificações de segurança e movimentação entre terminais.</w:t>
            </w:r>
          </w:p>
        </w:tc>
      </w:tr>
      <w:tr>
        <w:trPr>
          <w:trHeight w:val="2520" w:hRule="auto"/>
          <w:jc w:val="left"/>
        </w:trPr>
        <w:tc>
          <w:tcPr>
            <w:tcW w:w="2147" w:type="dxa"/>
            <w:tcBorders>
              <w:top w:val="single" w:color="000000" w:sz="0"/>
              <w:left w:val="single" w:color="000000" w:sz="0"/>
              <w:bottom w:val="single" w:color="000000" w:sz="4"/>
              <w:right w:val="single" w:color="000000" w:sz="0"/>
            </w:tcBorders>
            <w:shd w:color="000000" w:fill="d9d9d9" w:val="clear"/>
            <w:tcMar>
              <w:left w:w="108" w:type="dxa"/>
              <w:right w:w="108" w:type="dxa"/>
            </w:tcMar>
            <w:vAlign w:val="center"/>
          </w:tcPr>
          <w:p>
            <w:pPr>
              <w:spacing w:before="120" w:after="120" w:line="240"/>
              <w:ind w:right="0" w:left="284" w:firstLine="567"/>
              <w:jc w:val="both"/>
              <w:rPr>
                <w:spacing w:val="0"/>
                <w:position w:val="0"/>
              </w:rPr>
            </w:pPr>
            <w:r>
              <w:rPr>
                <w:rFonts w:ascii="Times New Roman" w:hAnsi="Times New Roman" w:cs="Times New Roman" w:eastAsia="Times New Roman"/>
                <w:color w:val="000000"/>
                <w:spacing w:val="0"/>
                <w:position w:val="0"/>
                <w:sz w:val="20"/>
                <w:shd w:fill="auto" w:val="clear"/>
              </w:rPr>
              <w:t xml:space="preserve">Fasone, Kofler and Scuderi (2016)</w:t>
            </w:r>
          </w:p>
        </w:tc>
        <w:tc>
          <w:tcPr>
            <w:tcW w:w="1956" w:type="dxa"/>
            <w:tcBorders>
              <w:top w:val="single" w:color="000000" w:sz="0"/>
              <w:left w:val="single" w:color="000000" w:sz="0"/>
              <w:bottom w:val="single" w:color="000000" w:sz="4"/>
              <w:right w:val="single" w:color="000000" w:sz="0"/>
            </w:tcBorders>
            <w:shd w:color="000000" w:fill="d9d9d9"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Econometria</w:t>
            </w:r>
          </w:p>
        </w:tc>
        <w:tc>
          <w:tcPr>
            <w:tcW w:w="1585" w:type="dxa"/>
            <w:tcBorders>
              <w:top w:val="single" w:color="000000" w:sz="0"/>
              <w:left w:val="single" w:color="000000" w:sz="0"/>
              <w:bottom w:val="single" w:color="000000" w:sz="4"/>
              <w:right w:val="single" w:color="000000" w:sz="0"/>
            </w:tcBorders>
            <w:shd w:color="000000" w:fill="d9d9d9"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60 observaões</w:t>
            </w:r>
          </w:p>
        </w:tc>
        <w:tc>
          <w:tcPr>
            <w:tcW w:w="3600" w:type="dxa"/>
            <w:tcBorders>
              <w:top w:val="single" w:color="000000" w:sz="0"/>
              <w:left w:val="single" w:color="000000" w:sz="0"/>
              <w:bottom w:val="single" w:color="000000" w:sz="4"/>
              <w:right w:val="single" w:color="000000" w:sz="0"/>
            </w:tcBorders>
            <w:shd w:color="000000" w:fill="d9d9d9" w:val="clear"/>
            <w:tcMar>
              <w:left w:w="108" w:type="dxa"/>
              <w:right w:w="108"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0"/>
                <w:shd w:fill="auto" w:val="clear"/>
              </w:rPr>
              <w:t xml:space="preserve">- O aumento no número de Companhias Aéreas de Baixo Custo tem um impacto negativo nos gastos dos passageiros.</w:t>
              <w:br/>
              <w:t xml:space="preserve">- Um maior número de passageiros no terminal gera congestionamento e desestimula a disposição para consumir.</w:t>
              <w:br/>
              <w:t xml:space="preserve">- A superfície total (em m²) das atividades comerciais não é significativa para explicar os níveis de receitas não relacionadas à aviação.</w:t>
            </w:r>
          </w:p>
        </w:tc>
      </w:tr>
      <w:tr>
        <w:trPr>
          <w:trHeight w:val="1960" w:hRule="auto"/>
          <w:jc w:val="left"/>
        </w:trPr>
        <w:tc>
          <w:tcPr>
            <w:tcW w:w="2147" w:type="dxa"/>
            <w:tcBorders>
              <w:top w:val="single" w:color="000000" w:sz="0"/>
              <w:left w:val="single" w:color="000000" w:sz="0"/>
              <w:bottom w:val="single" w:color="000000" w:sz="4"/>
              <w:right w:val="single" w:color="000000" w:sz="0"/>
            </w:tcBorders>
            <w:shd w:color="000000" w:fill="d9d9d9"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Yokomi, Wheat and Mizutani (2017)</w:t>
            </w:r>
          </w:p>
        </w:tc>
        <w:tc>
          <w:tcPr>
            <w:tcW w:w="1956" w:type="dxa"/>
            <w:tcBorders>
              <w:top w:val="single" w:color="000000" w:sz="0"/>
              <w:left w:val="single" w:color="000000" w:sz="0"/>
              <w:bottom w:val="single" w:color="000000" w:sz="4"/>
              <w:right w:val="single" w:color="000000" w:sz="0"/>
            </w:tcBorders>
            <w:shd w:color="000000" w:fill="d9d9d9"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Regressão logaritmica</w:t>
            </w:r>
          </w:p>
        </w:tc>
        <w:tc>
          <w:tcPr>
            <w:tcW w:w="1585" w:type="dxa"/>
            <w:tcBorders>
              <w:top w:val="single" w:color="000000" w:sz="0"/>
              <w:left w:val="single" w:color="000000" w:sz="0"/>
              <w:bottom w:val="single" w:color="000000" w:sz="4"/>
              <w:right w:val="single" w:color="000000" w:sz="0"/>
            </w:tcBorders>
            <w:shd w:color="000000" w:fill="d9d9d9"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238 observações</w:t>
            </w:r>
          </w:p>
        </w:tc>
        <w:tc>
          <w:tcPr>
            <w:tcW w:w="3600" w:type="dxa"/>
            <w:tcBorders>
              <w:top w:val="single" w:color="000000" w:sz="0"/>
              <w:left w:val="single" w:color="000000" w:sz="0"/>
              <w:bottom w:val="single" w:color="000000" w:sz="4"/>
              <w:right w:val="single" w:color="000000" w:sz="0"/>
            </w:tcBorders>
            <w:shd w:color="000000" w:fill="d9d9d9" w:val="clear"/>
            <w:tcMar>
              <w:left w:w="108" w:type="dxa"/>
              <w:right w:w="108"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0"/>
                <w:shd w:fill="auto" w:val="clear"/>
              </w:rPr>
              <w:t xml:space="preserve">- O aumento no número de Companhias Aéreas de Baixo Custo tem um impacto negativo nos gastos dos passageiros (conclusão semelhante à de Fasone, Kofler e Scuderi (2016)).</w:t>
              <w:br/>
              <w:t xml:space="preserve">- Os passageiros de Companhias Aéreas de Baixo Custo passam menos tempo no terminal em comparação com os passageiros de Companhias Aéreas não de Baixo Custo.</w:t>
            </w:r>
          </w:p>
        </w:tc>
      </w:tr>
    </w:tbl>
    <w:p>
      <w:pPr>
        <w:spacing w:before="120" w:after="120" w:line="240"/>
        <w:ind w:right="0" w:left="284" w:firstLine="567"/>
        <w:jc w:val="both"/>
        <w:rPr>
          <w:rFonts w:ascii="Calibri" w:hAnsi="Calibri" w:cs="Calibri" w:eastAsia="Calibri"/>
          <w:color w:val="auto"/>
          <w:spacing w:val="0"/>
          <w:position w:val="0"/>
          <w:sz w:val="24"/>
          <w:shd w:fill="auto" w:val="clear"/>
        </w:rPr>
      </w:pPr>
    </w:p>
    <w:p>
      <w:pPr>
        <w:keepNext w:val="true"/>
        <w:numPr>
          <w:ilvl w:val="0"/>
          <w:numId w:val="36"/>
        </w:numPr>
        <w:spacing w:before="120" w:after="120" w:line="240"/>
        <w:ind w:right="0" w:left="964" w:hanging="567"/>
        <w:jc w:val="both"/>
        <w:rPr>
          <w:rFonts w:ascii="Calibri" w:hAnsi="Calibri" w:cs="Calibri" w:eastAsia="Calibri"/>
          <w: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Tecnologias da Informação </w:t>
      </w: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Google Colab (Python)</w:t>
      </w: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adoção do Python se provou essencial para garantir a escalabilidade e a automação necessárias ao processamento de grandes volumes de dados, encontrando no Google Colab a plataforma ideal para o desenvolvimento do </w:t>
      </w:r>
      <w:r>
        <w:rPr>
          <w:rFonts w:ascii="Calibri" w:hAnsi="Calibri" w:cs="Calibri" w:eastAsia="Calibri"/>
          <w:i/>
          <w:color w:val="auto"/>
          <w:spacing w:val="0"/>
          <w:position w:val="0"/>
          <w:sz w:val="24"/>
          <w:shd w:fill="auto" w:val="clear"/>
        </w:rPr>
        <w:t xml:space="preserve">back-end</w:t>
      </w:r>
      <w:r>
        <w:rPr>
          <w:rFonts w:ascii="Calibri" w:hAnsi="Calibri" w:cs="Calibri" w:eastAsia="Calibri"/>
          <w:color w:val="auto"/>
          <w:spacing w:val="0"/>
          <w:position w:val="0"/>
          <w:sz w:val="24"/>
          <w:shd w:fill="auto" w:val="clear"/>
        </w:rPr>
        <w:t xml:space="preserve"> devido à facilidade de trabalho colaborativo em nuvem e à garantia de que o tratamento estrutural ocorresse via código antes das etapas de visualização. No desenvolvimento prático, essas ferramentas foram aplicadas na ingestão, normalização e limpeza das bases de dados brutas do Ministério do Desenvolvimento, Indústria, Comércio e Serviços (MDIC). Nesse cenário, a biblioteca </w:t>
      </w:r>
      <w:r>
        <w:rPr>
          <w:rFonts w:ascii="Calibri" w:hAnsi="Calibri" w:cs="Calibri" w:eastAsia="Calibri"/>
          <w:i/>
          <w:color w:val="auto"/>
          <w:spacing w:val="0"/>
          <w:position w:val="0"/>
          <w:sz w:val="24"/>
          <w:shd w:fill="auto" w:val="clear"/>
        </w:rPr>
        <w:t xml:space="preserve">Pandas</w:t>
      </w:r>
      <w:r>
        <w:rPr>
          <w:rFonts w:ascii="Calibri" w:hAnsi="Calibri" w:cs="Calibri" w:eastAsia="Calibri"/>
          <w:color w:val="auto"/>
          <w:spacing w:val="0"/>
          <w:position w:val="0"/>
          <w:sz w:val="24"/>
          <w:shd w:fill="auto" w:val="clear"/>
        </w:rPr>
        <w:t xml:space="preserve"> desempenhou um papel central, viabilizando a filtragem de municípios específicos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como São José dos Campos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 manipulação de arquivos CSV extensos e o cruzamento de tabelas por meio de operações de </w:t>
      </w:r>
      <w:r>
        <w:rPr>
          <w:rFonts w:ascii="Calibri" w:hAnsi="Calibri" w:cs="Calibri" w:eastAsia="Calibri"/>
          <w:i/>
          <w:color w:val="auto"/>
          <w:spacing w:val="0"/>
          <w:position w:val="0"/>
          <w:sz w:val="24"/>
          <w:shd w:fill="auto" w:val="clear"/>
        </w:rPr>
        <w:t xml:space="preserve">Merge</w:t>
      </w:r>
      <w:r>
        <w:rPr>
          <w:rFonts w:ascii="Calibri" w:hAnsi="Calibri" w:cs="Calibri" w:eastAsia="Calibri"/>
          <w:color w:val="auto"/>
          <w:spacing w:val="0"/>
          <w:position w:val="0"/>
          <w:sz w:val="24"/>
          <w:shd w:fill="auto" w:val="clear"/>
        </w:rPr>
        <w:t xml:space="preserve"> e </w:t>
      </w:r>
      <w:r>
        <w:rPr>
          <w:rFonts w:ascii="Calibri" w:hAnsi="Calibri" w:cs="Calibri" w:eastAsia="Calibri"/>
          <w:i/>
          <w:color w:val="auto"/>
          <w:spacing w:val="0"/>
          <w:position w:val="0"/>
          <w:sz w:val="24"/>
          <w:shd w:fill="auto" w:val="clear"/>
        </w:rPr>
        <w:t xml:space="preserve">Join</w:t>
      </w:r>
      <w:r>
        <w:rPr>
          <w:rFonts w:ascii="Calibri" w:hAnsi="Calibri" w:cs="Calibri" w:eastAsia="Calibri"/>
          <w:color w:val="auto"/>
          <w:spacing w:val="0"/>
          <w:position w:val="0"/>
          <w:sz w:val="24"/>
          <w:shd w:fill="auto" w:val="clear"/>
        </w:rPr>
        <w:t xml:space="preserve"> para associar os códigos NCM aos nomes dos produtos. Ao longo do processo, os principais desafios concentraram-se no gerenciamento de arquivos volumosos, que demandaram estratégias eficientes de leitura, e no aprofundamento em comandos avançados de filtragem e união de </w:t>
      </w:r>
      <w:r>
        <w:rPr>
          <w:rFonts w:ascii="Calibri" w:hAnsi="Calibri" w:cs="Calibri" w:eastAsia="Calibri"/>
          <w:i/>
          <w:color w:val="auto"/>
          <w:spacing w:val="0"/>
          <w:position w:val="0"/>
          <w:sz w:val="24"/>
          <w:shd w:fill="auto" w:val="clear"/>
        </w:rPr>
        <w:t xml:space="preserve">DataFrames</w:t>
      </w:r>
      <w:r>
        <w:rPr>
          <w:rFonts w:ascii="Calibri" w:hAnsi="Calibri" w:cs="Calibri" w:eastAsia="Calibri"/>
          <w:color w:val="auto"/>
          <w:spacing w:val="0"/>
          <w:position w:val="0"/>
          <w:sz w:val="24"/>
          <w:shd w:fill="auto" w:val="clear"/>
        </w:rPr>
        <w:t xml:space="preserve"> para salvaguardar a integridade dos dados. Como contribuição efetiva, a integração dessas tecnologias viabilizou uma base de dados unificada, consistente e enriquecida, assegurando que as análises subsequentes fossem edificadas sobre informações plenamente confiáveis e padronizadas.</w:t>
      </w:r>
    </w:p>
    <w:p>
      <w:pPr>
        <w:spacing w:before="120" w:after="120" w:line="240"/>
        <w:ind w:right="0" w:left="284" w:firstLine="567"/>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Github</w:t>
      </w:r>
    </w:p>
    <w:p>
      <w:pPr>
        <w:spacing w:before="120" w:after="120" w:line="240"/>
        <w:ind w:right="0" w:left="284" w:firstLine="567"/>
        <w:jc w:val="both"/>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O GitHub foi utilizado como ferramenta de versionamento e colaboração durante todo o desenvolvimento do projeto. A plataforma permitiu o armazenamento centralizado dos códigos-fonte, o controle de versões e o acompanhamento das alterações realizadas pelos integrantes da equipe. Sua utilização contribuiu para a organização do desenvolvimento, redução de conflitos entre versões e rastreabilidade das modificações implementadas ao longo das sprints.</w:t>
      </w: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Power BI</w:t>
      </w: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 Power BI tornou-se a escolha primordial para dar vida aos dados e erguer os painéis interativos do TrackFlow. Essa tecnologia possibilitou converter informações já processadas em visões dinâmicas, simplificando a compreensão dos números referentes ao comércio exterior dos municípios estudados. Entre as vantagens mais notáveis, encontram-se a elaboração de relatórios adaptáveis, a agilidade na atualização dos conteúdos e a liberdade para os utilizadores explorarem os dados de forma interativa. Consequentemente, a plataforma democratizou o acesso e aprimorou a eficácia das análises para a esfera pública, corporativa e de investimentos.</w:t>
      </w:r>
    </w:p>
    <w:p>
      <w:pPr>
        <w:spacing w:before="120" w:after="120" w:line="240"/>
        <w:ind w:right="0" w:left="284" w:firstLine="567"/>
        <w:jc w:val="both"/>
        <w:rPr>
          <w:rFonts w:ascii="Calibri" w:hAnsi="Calibri" w:cs="Calibri" w:eastAsia="Calibri"/>
          <w:color w:val="auto"/>
          <w:spacing w:val="0"/>
          <w:position w:val="0"/>
          <w:sz w:val="24"/>
          <w:shd w:fill="auto" w:val="clear"/>
        </w:rPr>
      </w:pPr>
    </w:p>
    <w:p>
      <w:pPr>
        <w:spacing w:before="120" w:after="120" w:line="240"/>
        <w:ind w:right="0" w:left="284" w:firstLine="567"/>
        <w:jc w:val="both"/>
        <w:rPr>
          <w:rFonts w:ascii="Calibri" w:hAnsi="Calibri" w:cs="Calibri" w:eastAsia="Calibri"/>
          <w:color w:val="auto"/>
          <w:spacing w:val="0"/>
          <w:position w:val="0"/>
          <w:sz w:val="24"/>
          <w:shd w:fill="auto" w:val="clear"/>
        </w:rPr>
      </w:pPr>
    </w:p>
    <w:p>
      <w:pPr>
        <w:spacing w:before="120" w:after="120" w:line="240"/>
        <w:ind w:right="0" w:left="284" w:firstLine="567"/>
        <w:jc w:val="both"/>
        <w:rPr>
          <w:rFonts w:ascii="Calibri" w:hAnsi="Calibri" w:cs="Calibri" w:eastAsia="Calibri"/>
          <w:color w:val="auto"/>
          <w:spacing w:val="0"/>
          <w:position w:val="0"/>
          <w:sz w:val="24"/>
          <w:shd w:fill="auto" w:val="clear"/>
        </w:rPr>
      </w:pPr>
    </w:p>
    <w:p>
      <w:pPr>
        <w:keepLines w:val="true"/>
        <w:numPr>
          <w:ilvl w:val="0"/>
          <w:numId w:val="38"/>
        </w:numPr>
        <w:spacing w:before="120" w:after="120" w:line="360"/>
        <w:ind w:right="0" w:left="648" w:hanging="360"/>
        <w:jc w:val="both"/>
        <w:rPr>
          <w:rFonts w:ascii="Calibri" w:hAnsi="Calibri" w:cs="Calibri" w:eastAsia="Calibri"/>
          <w:b/>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 Coleta e descrição dos dados utilizados </w:t>
      </w:r>
    </w:p>
    <w:p>
      <w:pPr>
        <w:spacing w:before="24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As informações usadas na construção deste projeto vem de fontes públicas oferecidas pelo Ministério do Desenvolvimento, Indústria, Comércio e Serviços (MDIC), que disponibiliza dados pormenorizados acerca das transações de exportação e importação realizadas em território brasileiro. O primeiro passo envolveu a importação dessas bases para o ambiente Google Colab. Ali, empregou-se a linguagem Python, em conjunto com a biblioteca Pandas, para uma fase de depuração e preparação dos dados. Nesta fase, dados inválidos foram eliminados, problemas de formatação foram resolvidos e as informações essenciais para as análises subsequentes foram uniformizadas. A seleção dos municípios que integram a Região Metropolitana do Vale do Paraíba foi efetuada por meio da função .isin(), viabilizando a escolha seletiva das entradas pertinentes às áreas de interesse do projeto. Em seguida, os dados foram combinados com tabelas de categorização de mercadorias, utilizando os códigos do Sistema Harmonizado (SH4). Isso permitiu a identificação dos bens transacionados em cada operação comercial. Concluída a fase de preparação, foi elaborada uma base de dados unificada. Esta base reúne dados sobre o município, o período de referência, o valor monetário das transações, a natureza da movimentação (exportação ou importação) e a classe dos bens negociados. Essa compilação foi o alicerce para a criação dos painéis e métricas apresentados no Power BI.Nesse tópico, devem ser apresentados os dados utilizados para o desenvolvimento do trabalho. Para se avançar na proposta, os dados a serem utilizados na modelagem precisam ser coletados e tratados. Nesse tópico devem ser apresentados todos os tratamentos de dados realizados, bem como as conclusões obtidas por esses tratamentos.</w:t>
      </w:r>
    </w:p>
    <w:p>
      <w:pPr>
        <w:keepLines w:val="true"/>
        <w:numPr>
          <w:ilvl w:val="0"/>
          <w:numId w:val="40"/>
        </w:numPr>
        <w:spacing w:before="120" w:after="120" w:line="240"/>
        <w:ind w:right="0" w:left="648" w:hanging="360"/>
        <w:jc w:val="both"/>
        <w:rPr>
          <w:rFonts w:ascii="Calibri" w:hAnsi="Calibri" w:cs="Calibri" w:eastAsia="Calibri"/>
          <w:b/>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Resultados esperados </w:t>
      </w: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Espera-se que o projeto TrackFlow forneça uma visão abrangente e estratégica do comércio exterior dos municípios paulistas, especialmente da Região Metropolitana do Vale do Paraíba e de São José dos Campos. A plataforma deverá permitir a identificação dos principais produtos exportados e importados, o acompanhamento da evolução da balança comercial e a análise comparativa entre diferentes municípios da região.</w:t>
      </w:r>
    </w:p>
    <w:p>
      <w:pPr>
        <w:spacing w:before="120" w:after="120" w:line="240"/>
        <w:ind w:right="0" w:left="284" w:firstLine="567"/>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Como resultado final, espera-se que a plataforma TrackFlow se consolide como uma ferramenta capaz de apoiar o nosso cliente na identificação de oportunidades de negócios, vantagens competitivas e necessidades de infraestrutura logística, contribuindo para o fortalecimento econômico da região analisada.Palunos deverão passar pela etapa de entendimento da relevância do projeto desenvolvido.</w:t>
      </w:r>
    </w:p>
    <w:p>
      <w:pPr>
        <w:spacing w:before="120" w:after="120" w:line="240"/>
        <w:ind w:right="0" w:left="0" w:firstLine="0"/>
        <w:jc w:val="both"/>
        <w:rPr>
          <w:rFonts w:ascii="Calibri" w:hAnsi="Calibri" w:cs="Calibri" w:eastAsia="Calibri"/>
          <w:color w:val="auto"/>
          <w:spacing w:val="0"/>
          <w:position w:val="0"/>
          <w:sz w:val="24"/>
          <w:shd w:fill="auto" w:val="clear"/>
        </w:rPr>
      </w:pPr>
    </w:p>
    <w:p>
      <w:pPr>
        <w:keepLines w:val="true"/>
        <w:numPr>
          <w:ilvl w:val="0"/>
          <w:numId w:val="43"/>
        </w:numPr>
        <w:spacing w:before="120" w:after="120" w:line="240"/>
        <w:ind w:right="0" w:left="648" w:hanging="360"/>
        <w:jc w:val="both"/>
        <w:rPr>
          <w:rFonts w:ascii="Calibri" w:hAnsi="Calibri" w:cs="Calibri" w:eastAsia="Calibri"/>
          <w:b/>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Referências</w:t>
      </w:r>
    </w:p>
    <w:p>
      <w:pPr>
        <w:spacing w:before="120" w:after="120" w:line="240"/>
        <w:ind w:right="0" w:left="284" w:firstLine="364"/>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Santos, Geovana Fernandes dos; ballonje, Tiffany Sayuri Moriwaki;</w:t>
      </w:r>
      <w:r>
        <w:rPr>
          <w:rFonts w:ascii="Calibri" w:hAnsi="Calibri" w:cs="Calibri" w:eastAsia="Calibri"/>
          <w:b/>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Silva, Márcia da. </w:t>
      </w:r>
      <w:r>
        <w:rPr>
          <w:rFonts w:ascii="Calibri" w:hAnsi="Calibri" w:cs="Calibri" w:eastAsia="Calibri"/>
          <w:i/>
          <w:color w:val="auto"/>
          <w:spacing w:val="0"/>
          <w:position w:val="0"/>
          <w:sz w:val="24"/>
          <w:shd w:fill="auto" w:val="clear"/>
        </w:rPr>
        <w:t xml:space="preserve">O papel da tecnologia na facilitação do comércio internacional</w:t>
      </w:r>
      <w:r>
        <w:rPr>
          <w:rFonts w:ascii="Calibri" w:hAnsi="Calibri" w:cs="Calibri" w:eastAsia="Calibri"/>
          <w:color w:val="auto"/>
          <w:spacing w:val="0"/>
          <w:position w:val="0"/>
          <w:sz w:val="24"/>
          <w:shd w:fill="auto" w:val="clear"/>
        </w:rPr>
        <w:t xml:space="preserve">. Revista Ibero-Americana de Humanidades, Ciências e Educação (REASE), v. 10, n. 6, p. 2519-2533, jun. 2024.</w:t>
      </w:r>
    </w:p>
    <w:p>
      <w:pPr>
        <w:spacing w:before="120" w:after="120" w:line="240"/>
        <w:ind w:right="0" w:left="284" w:firstLine="364"/>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Elias, Paulo Henrique Neves de Carvalho. </w:t>
      </w:r>
      <w:r>
        <w:rPr>
          <w:rFonts w:ascii="Calibri" w:hAnsi="Calibri" w:cs="Calibri" w:eastAsia="Calibri"/>
          <w:i/>
          <w:color w:val="auto"/>
          <w:spacing w:val="0"/>
          <w:position w:val="0"/>
          <w:sz w:val="24"/>
          <w:shd w:fill="auto" w:val="clear"/>
        </w:rPr>
        <w:t xml:space="preserve">Análise dos impactos logísticos do Siscomex Carga em grandes empresas importadoras no Estado do Ceará</w:t>
      </w:r>
      <w:r>
        <w:rPr>
          <w:rFonts w:ascii="Calibri" w:hAnsi="Calibri" w:cs="Calibri" w:eastAsia="Calibri"/>
          <w:color w:val="auto"/>
          <w:spacing w:val="0"/>
          <w:position w:val="0"/>
          <w:sz w:val="24"/>
          <w:shd w:fill="auto" w:val="clear"/>
        </w:rPr>
        <w:t xml:space="preserve">. 2009. 117 f. Dissertação (Mestrado em Administração e Controladoria) - Universidade Federal do Ceará, Fortaleza, 2009. </w:t>
      </w:r>
    </w:p>
    <w:p>
      <w:pPr>
        <w:spacing w:before="120" w:after="120" w:line="240"/>
        <w:ind w:right="0" w:left="284" w:firstLine="567"/>
        <w:jc w:val="both"/>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1">
    <w:abstractNumId w:val="42"/>
  </w:num>
  <w:num w:numId="13">
    <w:abstractNumId w:val="36"/>
  </w:num>
  <w:num w:numId="15">
    <w:abstractNumId w:val="30"/>
  </w:num>
  <w:num w:numId="17">
    <w:abstractNumId w:val="24"/>
  </w:num>
  <w:num w:numId="36">
    <w:abstractNumId w:val="18"/>
  </w:num>
  <w:num w:numId="38">
    <w:abstractNumId w:val="12"/>
  </w:num>
  <w:num w:numId="40">
    <w:abstractNumId w:val="6"/>
  </w:num>
  <w:num w:numId="4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