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26"/>
          <w:szCs w:val="26"/>
        </w:rPr>
        <w:t xml:space="preserve">Universidad Rafael Landívar</w:t>
      </w:r>
    </w:p>
    <w:p>
      <w:pPr>
        <w:spacing w:after="80" w:before="0"/>
        <w:jc w:val="center"/>
      </w:pPr>
      <w:r>
        <w:rPr>
          <w:rFonts w:ascii="Arial" w:cs="Arial" w:eastAsia="Arial" w:hAnsi="Arial"/>
          <w:color w:val="444444"/>
          <w:sz w:val="22"/>
          <w:szCs w:val="22"/>
        </w:rPr>
        <w:t xml:space="preserve">Facultad de Ingeniería — Redes y Telecomunicaciones</w:t>
      </w:r>
    </w:p>
    <w:p>
      <w:pPr>
        <w:pBdr>
          <w:bottom w:val="single" w:color="2E75B6" w:sz="4" w:space="1"/>
        </w:pBdr>
        <w:spacing w:after="160" w:before="160"/>
      </w:pPr>
    </w:p>
    <w:p>
      <w:pPr>
        <w:spacing w:after="120" w:before="200"/>
        <w:jc w:val="center"/>
      </w:pPr>
      <w:r>
        <w:rPr>
          <w:rFonts w:ascii="Arial" w:cs="Arial" w:eastAsia="Arial" w:hAnsi="Arial"/>
          <w:b/>
          <w:bCs/>
          <w:color w:val="1F3864"/>
          <w:sz w:val="36"/>
          <w:szCs w:val="36"/>
        </w:rPr>
        <w:t xml:space="preserve">FASE 1: INVESTIGACIÓN PROFUNDIZADA</w:t>
      </w:r>
    </w:p>
    <w:p>
      <w:pPr>
        <w:spacing w:after="200" w:before="0"/>
        <w:jc w:val="center"/>
      </w:pPr>
      <w:r>
        <w:rPr>
          <w:rFonts w:ascii="Arial" w:cs="Arial" w:eastAsia="Arial" w:hAnsi="Arial"/>
          <w:color w:val="2E75B6"/>
          <w:sz w:val="26"/>
          <w:szCs w:val="26"/>
        </w:rPr>
        <w:t xml:space="preserve">Diseño e Implementación de Red Híbrida — Corporativo XYZ</w:t>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a.  Arquitecturas de Red Híbrida</w:t>
      </w:r>
    </w:p>
    <w:p>
      <w:pPr>
        <w:spacing w:after="100" w:before="60"/>
        <w:jc w:val="both"/>
      </w:pPr>
      <w:r>
        <w:rPr>
          <w:rFonts w:ascii="Arial" w:cs="Arial" w:eastAsia="Arial" w:hAnsi="Arial"/>
          <w:sz w:val="22"/>
          <w:szCs w:val="22"/>
        </w:rPr>
        <w:t xml:space="preserve">Una arquitectura de red híbrida es aquella que integra de forma controlada una infraestructura local (on-premise) con uno o más entornos de nube pública o privada, creando un sistema cohesivo que aprovecha las fortalezas de cada modelo. A diferencia de una arquitectura puramente on-premise —donde todo el control y el hardware residen en las instalaciones de la organización— o de un modelo full-cloud —donde la dependencia de conectividad es total—, el enfoque híbrido permite distribuir cargas de trabajo según criterios técnicos, económicos y regulatorios.</w:t>
      </w:r>
    </w:p>
    <w:p>
      <w:pPr>
        <w:spacing w:after="80" w:before="180"/>
      </w:pPr>
      <w:r>
        <w:rPr>
          <w:rFonts w:ascii="Arial" w:cs="Arial" w:eastAsia="Arial" w:hAnsi="Arial"/>
          <w:b/>
          <w:bCs/>
          <w:color w:val="1F3864"/>
          <w:sz w:val="22"/>
          <w:szCs w:val="22"/>
        </w:rPr>
        <w:t xml:space="preserve">Marco de referencia: NIST SP 800-145</w:t>
      </w:r>
    </w:p>
    <w:p>
      <w:pPr>
        <w:spacing w:after="100" w:before="60"/>
        <w:jc w:val="both"/>
      </w:pPr>
      <w:r>
        <w:rPr>
          <w:rFonts w:ascii="Arial" w:cs="Arial" w:eastAsia="Arial" w:hAnsi="Arial"/>
          <w:sz w:val="22"/>
          <w:szCs w:val="22"/>
        </w:rPr>
        <w:t xml:space="preserve">El Instituto Nacional de Estándares y Tecnología de EE. UU. (NIST) define en su publicación SP 800-145 los cinco atributos esenciales del cloud computing: autoservicio bajo demanda, acceso de red amplio, agrupación de recursos, elasticidad rápida y servicio medido. Una arquitectura híbrida incorpora estos atributos de forma selectiva: se mantienen on-premise los servicios con requerimientos de latencia crítica o cumplimiento regulatorio, mientras que los servicios de alta variabilidad de demanda —como el servidor web externo del Corporativo XYZ— se delegan a la nube simulada.</w:t>
      </w:r>
    </w:p>
    <w:p>
      <w:pPr>
        <w:spacing w:after="80" w:before="180"/>
      </w:pPr>
      <w:r>
        <w:rPr>
          <w:rFonts w:ascii="Arial" w:cs="Arial" w:eastAsia="Arial" w:hAnsi="Arial"/>
          <w:b/>
          <w:bCs/>
          <w:color w:val="1F3864"/>
          <w:sz w:val="22"/>
          <w:szCs w:val="22"/>
        </w:rPr>
        <w:t xml:space="preserve">Modelos de integración</w:t>
      </w:r>
    </w:p>
    <w:p>
      <w:pPr>
        <w:spacing w:after="100" w:before="60"/>
        <w:jc w:val="both"/>
      </w:pPr>
      <w:r>
        <w:rPr>
          <w:rFonts w:ascii="Arial" w:cs="Arial" w:eastAsia="Arial" w:hAnsi="Arial"/>
          <w:sz w:val="22"/>
          <w:szCs w:val="22"/>
        </w:rPr>
        <w:t xml:space="preserve">Existen tres patrones arquitectónicos principales para la integración híbrida:</w:t>
      </w:r>
    </w:p>
    <w:p>
      <w:pPr>
        <w:pStyle w:val="ListParagraph"/>
        <w:numPr>
          <w:ilvl w:val="0"/>
          <w:numId w:val="2"/>
        </w:numPr>
        <w:spacing w:after="60" w:before="40"/>
      </w:pPr>
      <w:r>
        <w:rPr>
          <w:rFonts w:ascii="Arial" w:cs="Arial" w:eastAsia="Arial" w:hAnsi="Arial"/>
          <w:sz w:val="22"/>
          <w:szCs w:val="22"/>
        </w:rPr>
        <w:t xml:space="preserve">Hub-and-Spoke: el Datacenter actúa como nodo central (hub) al que se conectan las sedes remotas y la nube (spokes) mediante enlaces WAN dedicados o VPN. Este es el modelo implementado en el Corporativo XYZ, ya que simplifica la gestión de políticas de seguridad centralizadas y el flujo de tráfico entre sedes.</w:t>
      </w:r>
    </w:p>
    <w:p>
      <w:pPr>
        <w:pStyle w:val="ListParagraph"/>
        <w:numPr>
          <w:ilvl w:val="0"/>
          <w:numId w:val="2"/>
        </w:numPr>
        <w:spacing w:after="60" w:before="40"/>
      </w:pPr>
      <w:r>
        <w:rPr>
          <w:rFonts w:ascii="Arial" w:cs="Arial" w:eastAsia="Arial" w:hAnsi="Arial"/>
          <w:sz w:val="22"/>
          <w:szCs w:val="22"/>
        </w:rPr>
        <w:t xml:space="preserve">Mesh parcial: cada sitio puede comunicarse directamente con otros sin pasar por el hub central, reduciendo latencia en comunicaciones sede-a-sede. Aunque más eficiente en red, incrementa la complejidad de gestión de ACLs y políticas.</w:t>
      </w:r>
    </w:p>
    <w:p>
      <w:pPr>
        <w:pStyle w:val="ListParagraph"/>
        <w:numPr>
          <w:ilvl w:val="0"/>
          <w:numId w:val="2"/>
        </w:numPr>
        <w:spacing w:after="60" w:before="40"/>
      </w:pPr>
      <w:r>
        <w:rPr>
          <w:rFonts w:ascii="Arial" w:cs="Arial" w:eastAsia="Arial" w:hAnsi="Arial"/>
          <w:sz w:val="22"/>
          <w:szCs w:val="22"/>
        </w:rPr>
        <w:t xml:space="preserve">Multicloud híbrido: integra simultáneamente múltiples proveedores de nube (Azure + AWS) con la red local, permitiendo redundancia de proveedor y aprovechamiento de servicios específicos de cada plataforma.</w:t>
      </w:r>
    </w:p>
    <w:p>
      <w:pPr>
        <w:spacing w:after="80" w:before="180"/>
      </w:pPr>
      <w:r>
        <w:rPr>
          <w:rFonts w:ascii="Arial" w:cs="Arial" w:eastAsia="Arial" w:hAnsi="Arial"/>
          <w:b/>
          <w:bCs/>
          <w:color w:val="1F3864"/>
          <w:sz w:val="22"/>
          <w:szCs w:val="22"/>
        </w:rPr>
        <w:t xml:space="preserve">Métricas comparativas de latencia</w:t>
      </w:r>
    </w:p>
    <w:p>
      <w:pPr>
        <w:spacing w:after="100" w:before="60"/>
        <w:jc w:val="both"/>
      </w:pPr>
      <w:r>
        <w:rPr>
          <w:rFonts w:ascii="Arial" w:cs="Arial" w:eastAsia="Arial" w:hAnsi="Arial"/>
          <w:sz w:val="22"/>
          <w:szCs w:val="22"/>
        </w:rPr>
        <w:t xml:space="preserve">La justificación técnica de qué servicios deben permanecer on-premise se basa en análisis de latencia. Estudios de Microsoft Azure y AWS documentan las siguientes latencias promedio en entornos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 de comunicación</w:t>
            </w:r>
          </w:p>
        </w:tc>
        <w:tc>
          <w:tcPr>
            <w:tcW w:type="dxa" w:w="293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Latencia promedio</w:t>
            </w:r>
          </w:p>
        </w:tc>
        <w:tc>
          <w:tcPr>
            <w:tcW w:type="dxa" w:w="293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Impacto en servicio</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 interna (mismo edificio)</w:t>
            </w:r>
          </w:p>
        </w:tc>
        <w:tc>
          <w:tcPr>
            <w:tcW w:type="dxa" w:w="2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1 ms</w:t>
            </w:r>
          </w:p>
        </w:tc>
        <w:tc>
          <w:tcPr>
            <w:tcW w:type="dxa" w:w="2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Bases de datos transaccionales</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WAN entre sedes (MPLS)</w:t>
            </w:r>
          </w:p>
        </w:tc>
        <w:tc>
          <w:tcPr>
            <w:tcW w:type="dxa" w:w="29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 – 20 ms</w:t>
            </w:r>
          </w:p>
        </w:tc>
        <w:tc>
          <w:tcPr>
            <w:tcW w:type="dxa" w:w="29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ERP, VoIP corporativo</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Internet hacia nube pública</w:t>
            </w:r>
          </w:p>
        </w:tc>
        <w:tc>
          <w:tcPr>
            <w:tcW w:type="dxa" w:w="2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 – 100 ms</w:t>
            </w:r>
          </w:p>
        </w:tc>
        <w:tc>
          <w:tcPr>
            <w:tcW w:type="dxa" w:w="2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Portales web, correo externo</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Nube a nube (diferente región)</w:t>
            </w:r>
          </w:p>
        </w:tc>
        <w:tc>
          <w:tcPr>
            <w:tcW w:type="dxa" w:w="29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 – 200 ms</w:t>
            </w:r>
          </w:p>
        </w:tc>
        <w:tc>
          <w:tcPr>
            <w:tcW w:type="dxa" w:w="29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archivado frío</w:t>
            </w:r>
          </w:p>
        </w:tc>
      </w:tr>
    </w:tbl>
    <w:p>
      <w:pPr>
        <w:spacing w:after="180" w:before="60"/>
      </w:pPr>
    </w:p>
    <w:p>
      <w:pPr>
        <w:spacing w:after="100" w:before="60"/>
        <w:jc w:val="both"/>
      </w:pPr>
      <w:r>
        <w:rPr>
          <w:rFonts w:ascii="Arial" w:cs="Arial" w:eastAsia="Arial" w:hAnsi="Arial"/>
          <w:sz w:val="22"/>
          <w:szCs w:val="22"/>
        </w:rPr>
        <w:t xml:space="preserve">Esta tabla justifica técnicamente que los servidores de bases de datos de Finanzas y los servicios de DHCP/DNS internos permanezcan on-premise, mientras que el servidor web externo y el relay de correo se ubiquen en la nube simulada del proyecto.</w:t>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b.  Tecnologías de Datacenter On-Premise</w:t>
      </w:r>
    </w:p>
    <w:p>
      <w:pPr>
        <w:spacing w:after="100" w:before="60"/>
        <w:jc w:val="both"/>
      </w:pPr>
      <w:r>
        <w:rPr>
          <w:rFonts w:ascii="Arial" w:cs="Arial" w:eastAsia="Arial" w:hAnsi="Arial"/>
          <w:sz w:val="22"/>
          <w:szCs w:val="22"/>
        </w:rPr>
        <w:t xml:space="preserve">El diseño del Datacenter del Corporativo XYZ sigue el modelo jerárquico de tres capas definido por Cisco en su Enterprise Network Architecture, que es el estándar de facto en redes empresariales de mediana y gran escala. Este modelo no solo organiza los dispositivos físicamente, sino que define responsabilidades funcionales claras para cada capa.</w:t>
      </w:r>
    </w:p>
    <w:p>
      <w:pPr>
        <w:spacing w:after="80" w:before="180"/>
      </w:pPr>
      <w:r>
        <w:rPr>
          <w:rFonts w:ascii="Arial" w:cs="Arial" w:eastAsia="Arial" w:hAnsi="Arial"/>
          <w:b/>
          <w:bCs/>
          <w:color w:val="1F3864"/>
          <w:sz w:val="22"/>
          <w:szCs w:val="22"/>
        </w:rPr>
        <w:t xml:space="preserve">Modelo jerárquico: ratios de sobresubscripción</w:t>
      </w:r>
    </w:p>
    <w:p>
      <w:pPr>
        <w:spacing w:after="100" w:before="60"/>
        <w:jc w:val="both"/>
      </w:pPr>
      <w:r>
        <w:rPr>
          <w:rFonts w:ascii="Arial" w:cs="Arial" w:eastAsia="Arial" w:hAnsi="Arial"/>
          <w:sz w:val="22"/>
          <w:szCs w:val="22"/>
        </w:rPr>
        <w:t xml:space="preserve">Un concepto fundamental que el diseño debe documentar son los ratios de oversubscription (sobresubscripción), que determinan cuántos puertos de acceso compiten por el ancho de banda de uplink hacia la distribución: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 típico</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Ancho de banda uplink</w:t>
            </w:r>
          </w:p>
        </w:tc>
        <w:tc>
          <w:tcPr>
            <w:tcW w:type="dxa" w:w="24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Función principal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Acceso → Distribución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GbE típico</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Conectividad dispositivos finales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Distribución → Core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GbE recomendado</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Ruteo inter-VLAN y políticas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 Datacenter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10/40 GbE</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Transporte de alta velocidad</w:t>
            </w:r>
          </w:p>
        </w:tc>
      </w:tr>
    </w:tbl>
    <w:p>
      <w:pPr>
        <w:spacing w:after="160" w:before="60"/>
      </w:pPr>
    </w:p>
    <w:p>
      <w:pPr>
        <w:spacing w:after="80" w:before="180"/>
      </w:pPr>
      <w:r>
        <w:rPr>
          <w:rFonts w:ascii="Arial" w:cs="Arial" w:eastAsia="Arial" w:hAnsi="Arial"/>
          <w:b/>
          <w:bCs/>
          <w:color w:val="1F3864"/>
          <w:sz w:val="22"/>
          <w:szCs w:val="22"/>
        </w:rPr>
        <w:t xml:space="preserve">VLANs: segmentación avanzada y hardening de Capa 2</w:t>
      </w:r>
    </w:p>
    <w:p>
      <w:pPr>
        <w:spacing w:after="100" w:before="60"/>
        <w:jc w:val="both"/>
      </w:pPr>
      <w:r>
        <w:rPr>
          <w:rFonts w:ascii="Arial" w:cs="Arial" w:eastAsia="Arial" w:hAnsi="Arial"/>
          <w:sz w:val="22"/>
          <w:szCs w:val="22"/>
        </w:rPr>
        <w:t xml:space="preserve">La segmentación mediante VLANs va más allá de separar departamentos. Desde una perspectiva de seguridad, cada VLAN representa un dominio de broadcast independiente que limita el alcance de ataques de red. Sin embargo, una configuración incorrecta puede crear vectores de ataque conocidos como VLAN Hopping. Las contramedidas técnicas esenciales son:</w:t>
      </w:r>
    </w:p>
    <w:p>
      <w:pPr>
        <w:pStyle w:val="ListParagraph"/>
        <w:numPr>
          <w:ilvl w:val="0"/>
          <w:numId w:val="2"/>
        </w:numPr>
        <w:spacing w:after="60" w:before="40"/>
      </w:pPr>
      <w:r>
        <w:rPr>
          <w:rFonts w:ascii="Arial" w:cs="Arial" w:eastAsia="Arial" w:hAnsi="Arial"/>
          <w:sz w:val="22"/>
          <w:szCs w:val="22"/>
        </w:rPr>
        <w:t xml:space="preserve">VLAN nativa: nunca utilizar VLAN 1 como nativa en troncales. Se debe designar una VLAN sin usuarios (por ejemplo, VLAN 999) como nativa y asegurarse de que no haya hosts asignados a ella.</w:t>
      </w:r>
    </w:p>
    <w:p>
      <w:pPr>
        <w:pStyle w:val="ListParagraph"/>
        <w:numPr>
          <w:ilvl w:val="0"/>
          <w:numId w:val="2"/>
        </w:numPr>
        <w:spacing w:after="60" w:before="40"/>
      </w:pPr>
      <w:r>
        <w:rPr>
          <w:rFonts w:ascii="Arial" w:cs="Arial" w:eastAsia="Arial" w:hAnsi="Arial"/>
          <w:sz w:val="22"/>
          <w:szCs w:val="22"/>
        </w:rPr>
        <w:t xml:space="preserve">BPDU Guard: habilitado en todos los puertos de acceso para evitar que un dispositivo no autorizado participe en el proceso de elección del árbol de expansión (STP), lo que podría permitir a un atacante redirigir tráfico.</w:t>
      </w:r>
    </w:p>
    <w:p>
      <w:pPr>
        <w:pStyle w:val="ListParagraph"/>
        <w:numPr>
          <w:ilvl w:val="0"/>
          <w:numId w:val="2"/>
        </w:numPr>
        <w:spacing w:after="60" w:before="40"/>
      </w:pPr>
      <w:r>
        <w:rPr>
          <w:rFonts w:ascii="Arial" w:cs="Arial" w:eastAsia="Arial" w:hAnsi="Arial"/>
          <w:sz w:val="22"/>
          <w:szCs w:val="22"/>
        </w:rPr>
        <w:t xml:space="preserve">Dynamic ARP Inspection (DAI): valida que las solicitudes y respuestas ARP correspondan a asignaciones DHCP legítimas, previniendo ataques de ARP poisoning dentro de cada VLAN.</w:t>
      </w:r>
    </w:p>
    <w:p>
      <w:pPr>
        <w:pStyle w:val="ListParagraph"/>
        <w:numPr>
          <w:ilvl w:val="0"/>
          <w:numId w:val="2"/>
        </w:numPr>
        <w:spacing w:after="60" w:before="40"/>
      </w:pPr>
      <w:r>
        <w:rPr>
          <w:rFonts w:ascii="Arial" w:cs="Arial" w:eastAsia="Arial" w:hAnsi="Arial"/>
          <w:sz w:val="22"/>
          <w:szCs w:val="22"/>
        </w:rPr>
        <w:t xml:space="preserve">Port Security: limitar el número de direcciones MAC por puerto (típicamente 1 en acceso, 2 en uplinks de AP) activa un mecanismo de shutdown automático ante violaciones, reduciendo el riesgo de conexiones no autorizadas.</w:t>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c.  Conectividad WAN y Tecnologías de Túneles</w:t>
      </w:r>
    </w:p>
    <w:p>
      <w:pPr>
        <w:spacing w:after="100" w:before="60"/>
        <w:jc w:val="both"/>
      </w:pPr>
      <w:r>
        <w:rPr>
          <w:rFonts w:ascii="Arial" w:cs="Arial" w:eastAsia="Arial" w:hAnsi="Arial"/>
          <w:sz w:val="22"/>
          <w:szCs w:val="22"/>
        </w:rPr>
        <w:t xml:space="preserve">La conectividad entre el Datacenter del Corporativo XYZ y sus tres sedes remotas requiere tecnologías WAN que combinen seguridad, rendimiento y costo-efectividad. La elección entre MPLS, SD-WAN, IPSec e implementaciones de GRE tiene implicaciones técnicas y económicas directas sobre el diseño.</w:t>
      </w:r>
    </w:p>
    <w:p>
      <w:pPr>
        <w:spacing w:after="80" w:before="180"/>
      </w:pPr>
      <w:r>
        <w:rPr>
          <w:rFonts w:ascii="Arial" w:cs="Arial" w:eastAsia="Arial" w:hAnsi="Arial"/>
          <w:b/>
          <w:bCs/>
          <w:color w:val="1F3864"/>
          <w:sz w:val="22"/>
          <w:szCs w:val="22"/>
        </w:rPr>
        <w:t xml:space="preserve">Comparativa técnica detallada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Tecnología</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Cifrado</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QoS nativo</w:t>
            </w:r>
          </w:p>
        </w:tc>
        <w:tc>
          <w:tcPr>
            <w:tcW w:type="dxa" w:w="2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Soporte multicast / ruteo dinámico</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 relativo</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MPLS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(requiere capa adicional)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Sí (nativo)</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Sí (OSPF/BGP sin encapsulamiento)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Alto</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IPSec solo</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Sí (AES-256)</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Limitado</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soporta multicast → OSPF no funciona directamente</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Bajo</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GRE + IPSec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Sí (AES-256 via IPSec)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Parcial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Sí (GRE encapsula multicast, IPSec cifra el túnel GRE)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Bajo-Medio</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SD-WAN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Sí (integrado)</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Sí (dinámico)</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Sí (orquestación centralizada)</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Medio (OPEX)</w:t>
            </w:r>
          </w:p>
        </w:tc>
      </w:tr>
    </w:tbl>
    <w:p>
      <w:pPr>
        <w:spacing w:after="160" w:before="60"/>
      </w:pPr>
    </w:p>
    <w:p>
      <w:pPr>
        <w:spacing w:after="80" w:before="180"/>
      </w:pPr>
      <w:r>
        <w:rPr>
          <w:rFonts w:ascii="Arial" w:cs="Arial" w:eastAsia="Arial" w:hAnsi="Arial"/>
          <w:b/>
          <w:bCs/>
          <w:color w:val="1F3864"/>
          <w:sz w:val="22"/>
          <w:szCs w:val="22"/>
        </w:rPr>
        <w:t xml:space="preserve">GRE sobre IPSec: la solución correcta para OSPF sobre WAN</w:t>
      </w:r>
    </w:p>
    <w:p>
      <w:pPr>
        <w:spacing w:after="100" w:before="60"/>
        <w:jc w:val="both"/>
      </w:pPr>
      <w:r>
        <w:rPr>
          <w:rFonts w:ascii="Arial" w:cs="Arial" w:eastAsia="Arial" w:hAnsi="Arial"/>
          <w:sz w:val="22"/>
          <w:szCs w:val="22"/>
        </w:rPr>
        <w:t xml:space="preserve">Un punto técnico crítico que el proyecto debe documentar es la razón por la cual se requiere la combinación GRE+IPSec cuando se ejecuta OSPF entre sedes remotas. OSPF depende del envío de paquetes multicast (dirección 224.0.0.5 para All-OSPF-Routers y 224.0.0.6 para DR/BDR) para el descubrimiento de vecinos y la sincronización de la base de datos de estado de enlace. Sin embargo, IPSec solo puede cifrar tráfico unicast de forma nativa; el multicast es descartado por el proceso IPSec.</w:t>
      </w:r>
    </w:p>
    <w:p>
      <w:pPr>
        <w:spacing w:after="100" w:before="60"/>
        <w:jc w:val="both"/>
      </w:pPr>
      <w:r>
        <w:rPr>
          <w:rFonts w:ascii="Arial" w:cs="Arial" w:eastAsia="Arial" w:hAnsi="Arial"/>
          <w:sz w:val="22"/>
          <w:szCs w:val="22"/>
        </w:rPr>
        <w:t xml:space="preserve">La solución técnica es encapsular el tráfico OSPF multicast dentro de un túnel GRE (que lo convierte en tráfico unicast punto a punto), y luego aplicar IPSec sobre el túnel GRE para garantizar confidencialidad e integridad. Esta arquitectura GRE over IPSec es el estándar de la industria para VPN site-to-site con ruteo dinámico y está contemplada en el RFC 2784 (GRE) y en los RFC 4301-4309 (IPSec Architecture).</w:t>
      </w:r>
    </w:p>
    <w:p>
      <w:pPr>
        <w:pBdr>
          <w:bottom w:val="single" w:color="2E75B6" w:sz="4" w:space="1"/>
        </w:pBdr>
        <w:spacing w:after="160" w:before="160"/>
      </w:pPr>
    </w:p>
    <w:p>
      <w:r>
        <w:br w:type="page"/>
      </w:r>
    </w:p>
    <w:p>
      <w:pPr>
        <w:pStyle w:val="Heading1"/>
        <w:spacing w:after="160" w:before="320"/>
      </w:pPr>
      <w:r>
        <w:rPr>
          <w:rFonts w:ascii="Arial" w:cs="Arial" w:eastAsia="Arial" w:hAnsi="Arial"/>
          <w:b/>
          <w:bCs/>
          <w:color w:val="1F3864"/>
          <w:sz w:val="32"/>
          <w:szCs w:val="32"/>
        </w:rPr>
        <w:t xml:space="preserve">d.  Protocolos de Ruteo: OSPF y BGP</w:t>
      </w:r>
    </w:p>
    <w:p>
      <w:pPr>
        <w:spacing w:after="100" w:before="60"/>
        <w:jc w:val="both"/>
      </w:pPr>
      <w:r>
        <w:rPr>
          <w:rFonts w:ascii="Arial" w:cs="Arial" w:eastAsia="Arial" w:hAnsi="Arial"/>
          <w:sz w:val="22"/>
          <w:szCs w:val="22"/>
        </w:rPr>
        <w:t xml:space="preserve">La selección de OSPF para el ruteo interno y BGP para la interconexión con el ISP/nube no es arbitraria; responde a características técnicas fundamentales de cada protocolo que los hacen idóneos para sus respectivos dominios de aplicación.</w:t>
      </w:r>
    </w:p>
    <w:p>
      <w:pPr>
        <w:spacing w:after="80" w:before="180"/>
      </w:pPr>
      <w:r>
        <w:rPr>
          <w:rFonts w:ascii="Arial" w:cs="Arial" w:eastAsia="Arial" w:hAnsi="Arial"/>
          <w:b/>
          <w:bCs/>
          <w:color w:val="1F3864"/>
          <w:sz w:val="22"/>
          <w:szCs w:val="22"/>
        </w:rPr>
        <w:t xml:space="preserve">OSPF: análisis técnico del algoritmo SPF</w:t>
      </w:r>
    </w:p>
    <w:p>
      <w:pPr>
        <w:spacing w:after="100" w:before="60"/>
        <w:jc w:val="both"/>
      </w:pPr>
      <w:r>
        <w:rPr>
          <w:rFonts w:ascii="Arial" w:cs="Arial" w:eastAsia="Arial" w:hAnsi="Arial"/>
          <w:sz w:val="22"/>
          <w:szCs w:val="22"/>
        </w:rPr>
        <w:t xml:space="preserve">OSPF (Open Shortest Path First, RFC 2328 para OSPFv2 / RFC 5340 para OSPFv3) es un protocolo de estado de enlace que construye un mapa completo de la topología de red utilizando una base de datos de estado de enlace (LSDB). A partir de esta base de datos, cada router ejecuta de forma independiente el algoritmo de Dijkstra (Shortest Path First) para calcular el árbol de caminos más cortos hacia todos los destinos.</w:t>
      </w:r>
    </w:p>
    <w:p>
      <w:pPr>
        <w:spacing w:after="100" w:before="60"/>
        <w:jc w:val="both"/>
      </w:pPr>
      <w:r>
        <w:rPr>
          <w:rFonts w:ascii="Arial" w:cs="Arial" w:eastAsia="Arial" w:hAnsi="Arial"/>
          <w:sz w:val="22"/>
          <w:szCs w:val="22"/>
        </w:rPr>
        <w:t xml:space="preserve">El tiempo de convergencia de OSPF puede controlarse con precisión mediante temporizadores. En implementaciones modernas con los timers throttle SPF configurados, la convergencia completa se logra en menos de 1 segundo:</w:t>
      </w:r>
    </w:p>
    <w:p>
      <w:pPr>
        <w:pStyle w:val="ListParagraph"/>
        <w:numPr>
          <w:ilvl w:val="0"/>
          <w:numId w:val="2"/>
        </w:numPr>
        <w:spacing w:after="60" w:before="40"/>
      </w:pPr>
      <w:r>
        <w:rPr>
          <w:rFonts w:ascii="Arial" w:cs="Arial" w:eastAsia="Arial" w:hAnsi="Arial"/>
          <w:sz w:val="22"/>
          <w:szCs w:val="22"/>
        </w:rPr>
        <w:t xml:space="preserve">Hello interval: 10 segundos (LAN) / 30 segundos (WAN). Detecta la pérdida de vecinos.</w:t>
      </w:r>
    </w:p>
    <w:p>
      <w:pPr>
        <w:pStyle w:val="ListParagraph"/>
        <w:numPr>
          <w:ilvl w:val="0"/>
          <w:numId w:val="2"/>
        </w:numPr>
        <w:spacing w:after="60" w:before="40"/>
      </w:pPr>
      <w:r>
        <w:rPr>
          <w:rFonts w:ascii="Arial" w:cs="Arial" w:eastAsia="Arial" w:hAnsi="Arial"/>
          <w:sz w:val="22"/>
          <w:szCs w:val="22"/>
        </w:rPr>
        <w:t xml:space="preserve">Dead interval: 4x Hello interval. Tiempo tras el cual un vecino se considera caído.</w:t>
      </w:r>
    </w:p>
    <w:p>
      <w:pPr>
        <w:pStyle w:val="ListParagraph"/>
        <w:numPr>
          <w:ilvl w:val="0"/>
          <w:numId w:val="2"/>
        </w:numPr>
        <w:spacing w:after="60" w:before="40"/>
      </w:pPr>
      <w:r>
        <w:rPr>
          <w:rFonts w:ascii="Arial" w:cs="Arial" w:eastAsia="Arial" w:hAnsi="Arial"/>
          <w:sz w:val="22"/>
          <w:szCs w:val="22"/>
        </w:rPr>
        <w:t xml:space="preserve">SPF throttle: configurable con tiempos de inicio de 50 ms, incremento de 200 ms y máximo de 5000 ms, permitiendo reacción inmediata ante cambios mientras se evita inestabilidad por oscilaciones de enlace.</w:t>
      </w:r>
    </w:p>
    <w:p>
      <w:pPr>
        <w:spacing w:after="80" w:before="180"/>
      </w:pPr>
      <w:r>
        <w:rPr>
          <w:rFonts w:ascii="Arial" w:cs="Arial" w:eastAsia="Arial" w:hAnsi="Arial"/>
          <w:b/>
          <w:bCs/>
          <w:color w:val="1F3864"/>
          <w:sz w:val="22"/>
          <w:szCs w:val="22"/>
        </w:rPr>
        <w:t xml:space="preserve">Autenticación OSPF: requerimiento de seguridad</w:t>
      </w:r>
    </w:p>
    <w:p>
      <w:pPr>
        <w:spacing w:after="100" w:before="60"/>
        <w:jc w:val="both"/>
      </w:pPr>
      <w:r>
        <w:rPr>
          <w:rFonts w:ascii="Arial" w:cs="Arial" w:eastAsia="Arial" w:hAnsi="Arial"/>
          <w:sz w:val="22"/>
          <w:szCs w:val="22"/>
        </w:rPr>
        <w:t xml:space="preserve">Un aspecto frecuentemente omitido en proyectos académicos pero crítico en producción es la autenticación de adyacencias OSPF. Sin autenticación, cualquier dispositivo conectado a la red puede inyectar LSAs (Link State Advertisements) falsos, corrompiendo la base de datos de ruteo y potencialmente redirigiendo tráfico hacia un atacante (ataque de ruta falsa). OSPFv2 soporta autenticación MD5 por área, mientras que OSPFv3 delega la autenticación a IPSec.</w:t>
      </w:r>
    </w:p>
    <w:p>
      <w:pPr>
        <w:spacing w:after="80" w:before="180"/>
      </w:pPr>
      <w:r>
        <w:rPr>
          <w:rFonts w:ascii="Arial" w:cs="Arial" w:eastAsia="Arial" w:hAnsi="Arial"/>
          <w:b/>
          <w:bCs/>
          <w:color w:val="1F3864"/>
          <w:sz w:val="22"/>
          <w:szCs w:val="22"/>
        </w:rPr>
        <w:t xml:space="preserve">BGP: el protocolo que sostiene Internet</w:t>
      </w:r>
    </w:p>
    <w:p>
      <w:pPr>
        <w:spacing w:after="100" w:before="60"/>
        <w:jc w:val="both"/>
      </w:pPr>
      <w:r>
        <w:rPr>
          <w:rFonts w:ascii="Arial" w:cs="Arial" w:eastAsia="Arial" w:hAnsi="Arial"/>
          <w:sz w:val="22"/>
          <w:szCs w:val="22"/>
        </w:rPr>
        <w:t xml:space="preserve">BGP (Border Gateway Protocol, RFC 4271) es el único protocolo de ruteo de pasarela exterior (EGP) en uso activo en Internet. A diferencia de OSPF, que optimiza rutas basándose en métricas de costo, BGP toma decisiones de ruteo basándose en políticas expresadas mediante atributos de ruta. La tabla de ruteo global de Internet contiene actualmente más de 900,000 prefijos IPv4 y más de 180,000 prefijos IPv6 (dato verificable en tiempo real en route-views.routeviews.org), lo que hace inviable ejecutar BGP en el interior de una red corporativa.</w:t>
      </w:r>
    </w:p>
    <w:p>
      <w:pPr>
        <w:spacing w:after="80" w:before="180"/>
      </w:pPr>
      <w:r>
        <w:rPr>
          <w:rFonts w:ascii="Arial" w:cs="Arial" w:eastAsia="Arial" w:hAnsi="Arial"/>
          <w:b/>
          <w:bCs/>
          <w:color w:val="1F3864"/>
          <w:sz w:val="22"/>
          <w:szCs w:val="22"/>
        </w:rPr>
        <w:t xml:space="preserve">iBGP vs eBGP en el diseño del Corporativo XYZ</w:t>
      </w:r>
    </w:p>
    <w:p>
      <w:pPr>
        <w:spacing w:after="100" w:before="60"/>
        <w:jc w:val="both"/>
      </w:pPr>
      <w:r>
        <w:rPr>
          <w:rFonts w:ascii="Arial" w:cs="Arial" w:eastAsia="Arial" w:hAnsi="Arial"/>
          <w:sz w:val="22"/>
          <w:szCs w:val="22"/>
        </w:rPr>
        <w:t xml:space="preserve">El proyecto implementa eBGP (External BGP) entre RT-BORDER-01/02 y el router del ISP simulado. Es importante documentar la diferencia: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36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eBGP (External BGP)</w:t>
            </w:r>
          </w:p>
        </w:tc>
        <w:tc>
          <w:tcPr>
            <w:tcW w:type="dxa" w:w="36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iBGP (Internal BGP)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Uso</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Entre sistemas autónomos distintos (AS propios ≠ AS ISP)</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Dentro del mismo sistema autónomo</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TTL paquetes</w:t>
            </w:r>
          </w:p>
        </w:tc>
        <w:tc>
          <w:tcPr>
            <w:tcW w:type="dxa" w:w="3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TTL = 1 (vecinos directamente conectados)</w:t>
            </w:r>
          </w:p>
        </w:tc>
        <w:tc>
          <w:tcPr>
            <w:tcW w:type="dxa" w:w="3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TTL = 255 (sesiones TCP sobre la red interna)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Relevancia en el proyecto</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RT-BORDER-01 ↔ RT-ISP: sesión eBGP activa</w:t>
            </w:r>
          </w:p>
        </w:tc>
        <w:tc>
          <w:tcPr>
            <w:tcW w:type="dxa" w:w="3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hubieran múltiples routers de borde, se requeriría iBGP o Route Reflectors para sincronizar rutas BGP internamente</w:t>
            </w:r>
          </w:p>
        </w:tc>
      </w:tr>
    </w:tbl>
    <w:p>
      <w:pPr>
        <w:spacing w:after="160" w:before="60"/>
      </w:pP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e.  Alta Disponibilidad en Redes</w:t>
      </w:r>
    </w:p>
    <w:p>
      <w:pPr>
        <w:spacing w:after="100" w:before="60"/>
        <w:jc w:val="both"/>
      </w:pPr>
      <w:r>
        <w:rPr>
          <w:rFonts w:ascii="Arial" w:cs="Arial" w:eastAsia="Arial" w:hAnsi="Arial"/>
          <w:sz w:val="22"/>
          <w:szCs w:val="22"/>
        </w:rPr>
        <w:t xml:space="preserve">La alta disponibilidad (HA) en redes empresariales se mide en función del tiempo de convergencia —el período durante el cual la red está inoperativa tras un fallo— y del objetivo de tiempo de recuperación (RTO, Recovery Time Objective) definido por el negocio. Cada protocolo de HA tiene características de convergencia distintas que justifican su selección.</w:t>
      </w:r>
    </w:p>
    <w:p>
      <w:pPr>
        <w:spacing w:after="80" w:before="180"/>
      </w:pPr>
      <w:r>
        <w:rPr>
          <w:rFonts w:ascii="Arial" w:cs="Arial" w:eastAsia="Arial" w:hAnsi="Arial"/>
          <w:b/>
          <w:bCs/>
          <w:color w:val="1F3864"/>
          <w:sz w:val="22"/>
          <w:szCs w:val="22"/>
        </w:rPr>
        <w:t xml:space="preserve">Tiempos de convergencia por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3060"/>
      </w:tblGrid>
      <w:tr>
        <w:tc>
          <w:tcPr>
            <w:tcW w:type="dxa" w:w="21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Protocolo</w:t>
            </w:r>
          </w:p>
        </w:tc>
        <w:tc>
          <w:tcPr>
            <w:tcW w:type="dxa" w:w="21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Tiempo convergencia típico</w:t>
            </w:r>
          </w:p>
        </w:tc>
        <w:tc>
          <w:tcPr>
            <w:tcW w:type="dxa" w:w="21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 OSI</w:t>
            </w:r>
          </w:p>
        </w:tc>
        <w:tc>
          <w:tcPr>
            <w:tcW w:type="dxa" w:w="30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Mecanismo de detección de fallo</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STP (802.1D clásico)</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 50 segundos</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Capa 2</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MaxAge (20s) + Listening (15s) + Learning (15s)</w:t>
            </w:r>
          </w:p>
        </w:tc>
      </w:tr>
      <w:tr>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RSTP (802.1w)</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 2 segundos</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Capa 2</w:t>
            </w:r>
          </w:p>
        </w:tc>
        <w:tc>
          <w:tcPr>
            <w:tcW w:type="dxa" w:w="3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Propuesta/acuerdo sin esperar temporizadores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LACP (802.3ad)</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 segundo</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Capa 2</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PDUs LACP cada 1s (modo fast) / 30s (slow)</w:t>
            </w:r>
          </w:p>
        </w:tc>
      </w:tr>
      <w:tr>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HSRP (Cisco propietario)</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 10 segundos (configurable)</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Capa 3</w:t>
            </w:r>
          </w:p>
        </w:tc>
        <w:tc>
          <w:tcPr>
            <w:tcW w:type="dxa" w:w="3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Hello cada 1s, Hold timer 3s (por defecto)</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VRRP (RFC 5798)</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 10 segundos (configurable)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Capa 3</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Advertisements cada 1s por defecto; open standard</w:t>
            </w:r>
          </w:p>
        </w:tc>
      </w:tr>
      <w:tr>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OSPF con BFD</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 segundo</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Capa 3</w:t>
            </w:r>
          </w:p>
        </w:tc>
        <w:tc>
          <w:tcPr>
            <w:tcW w:type="dxa" w:w="3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BFD detecta fallos de enlace en milisegundos, notifica a OSPF</w:t>
            </w:r>
          </w:p>
        </w:tc>
      </w:tr>
    </w:tbl>
    <w:p>
      <w:pPr>
        <w:spacing w:after="160" w:before="60"/>
      </w:pPr>
    </w:p>
    <w:p>
      <w:pPr>
        <w:spacing w:after="100" w:before="60"/>
        <w:jc w:val="both"/>
      </w:pPr>
      <w:r>
        <w:rPr>
          <w:rFonts w:ascii="Arial" w:cs="Arial" w:eastAsia="Arial" w:hAnsi="Arial"/>
          <w:sz w:val="22"/>
          <w:szCs w:val="22"/>
        </w:rPr>
        <w:t xml:space="preserve">Esta tabla demuestra por qué la elección de RSTP sobre STP clásico es técnicamente correcta: una convergencia de 1-2 segundos frente a 30-50 segundos es la diferencia entre una interrupción imperceptible para el usuario y una interrupción de servicio operacionalmente significativa. Para un corporativo con actividad financiera en tiempo real, incluso 10 segundos de downtime puede implicar pérdidas económicas cuantificables.</w:t>
      </w:r>
    </w:p>
    <w:p>
      <w:pPr>
        <w:spacing w:after="80" w:before="180"/>
      </w:pPr>
      <w:r>
        <w:rPr>
          <w:rFonts w:ascii="Arial" w:cs="Arial" w:eastAsia="Arial" w:hAnsi="Arial"/>
          <w:b/>
          <w:bCs/>
          <w:color w:val="1F3864"/>
          <w:sz w:val="22"/>
          <w:szCs w:val="22"/>
        </w:rPr>
        <w:t xml:space="preserve">HSRP vs VRRP: consideración estratégica</w:t>
      </w:r>
    </w:p>
    <w:p>
      <w:pPr>
        <w:spacing w:after="100" w:before="60"/>
        <w:jc w:val="both"/>
      </w:pPr>
      <w:r>
        <w:rPr>
          <w:rFonts w:ascii="Arial" w:cs="Arial" w:eastAsia="Arial" w:hAnsi="Arial"/>
          <w:sz w:val="22"/>
          <w:szCs w:val="22"/>
        </w:rPr>
        <w:t xml:space="preserve">El proyecto implementa HSRP, protocolo propietario de Cisco, que funciona correctamente en un entorno con equipamiento Cisco homogéneo como el del Corporativo XYZ. Sin embargo, en un entorno real donde pudiera integrarse equipamiento de múltiples fabricantes, VRRP (RFC 5798) sería la alternativa estándar abierta con funcionalidad equivalente. La documentación debe reconocer esta distinción para demostrar comprensión de las implicaciones de vendor lock-in.</w:t>
      </w:r>
    </w:p>
    <w:p>
      <w:pPr>
        <w:pBdr>
          <w:bottom w:val="single" w:color="2E75B6" w:sz="4" w:space="1"/>
        </w:pBdr>
        <w:spacing w:after="160" w:before="160"/>
      </w:pPr>
    </w:p>
    <w:p>
      <w:r>
        <w:br w:type="page"/>
      </w:r>
    </w:p>
    <w:p>
      <w:pPr>
        <w:pStyle w:val="Heading1"/>
        <w:spacing w:after="160" w:before="320"/>
      </w:pPr>
      <w:r>
        <w:rPr>
          <w:rFonts w:ascii="Arial" w:cs="Arial" w:eastAsia="Arial" w:hAnsi="Arial"/>
          <w:b/>
          <w:bCs/>
          <w:color w:val="1F3864"/>
          <w:sz w:val="32"/>
          <w:szCs w:val="32"/>
        </w:rPr>
        <w:t xml:space="preserve">f.  Gobernabilidad y Gestión de Redes</w:t>
      </w:r>
    </w:p>
    <w:p>
      <w:pPr>
        <w:spacing w:after="100" w:before="60"/>
        <w:jc w:val="both"/>
      </w:pPr>
      <w:r>
        <w:rPr>
          <w:rFonts w:ascii="Arial" w:cs="Arial" w:eastAsia="Arial" w:hAnsi="Arial"/>
          <w:sz w:val="22"/>
          <w:szCs w:val="22"/>
        </w:rPr>
        <w:t xml:space="preserve">La gobernabilidad de red no se limita a la configuración de protocolos de acceso; abarca un conjunto de políticas, procedimientos y controles técnicos que garantizan la operación segura, trazable y auditable de la infraestructura. El marco ISO/IEC 27001 (Sistemas de Gestión de Seguridad de la Información) y el framework ITIL v4 establecen las mejores prácticas para la gestión de infraestructura de red en entornos corporativos.</w:t>
      </w:r>
    </w:p>
    <w:p>
      <w:pPr>
        <w:spacing w:after="80" w:before="180"/>
      </w:pPr>
      <w:r>
        <w:rPr>
          <w:rFonts w:ascii="Arial" w:cs="Arial" w:eastAsia="Arial" w:hAnsi="Arial"/>
          <w:b/>
          <w:bCs/>
          <w:color w:val="1F3864"/>
          <w:sz w:val="22"/>
          <w:szCs w:val="22"/>
        </w:rPr>
        <w:t xml:space="preserve">SNMP: versiones y criticidad de seguridad</w:t>
      </w:r>
    </w:p>
    <w:p>
      <w:pPr>
        <w:spacing w:after="100" w:before="60"/>
        <w:jc w:val="both"/>
      </w:pPr>
      <w:r>
        <w:rPr>
          <w:rFonts w:ascii="Arial" w:cs="Arial" w:eastAsia="Arial" w:hAnsi="Arial"/>
          <w:sz w:val="22"/>
          <w:szCs w:val="22"/>
        </w:rPr>
        <w:t xml:space="preserve">El proyecto menciona SNMP para monitoreo, pero es crucial documentar la diferencia de seguridad entre versiones, ya que representa una brecha de seguridad crítica en muchas organizaciones: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Versión</w:t>
            </w:r>
          </w:p>
        </w:tc>
        <w:tc>
          <w:tcPr>
            <w:tcW w:type="dxa" w:w="25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Autenticación</w:t>
            </w:r>
          </w:p>
        </w:tc>
        <w:tc>
          <w:tcPr>
            <w:tcW w:type="dxa" w:w="25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Cifrado de datos</w:t>
            </w:r>
          </w:p>
        </w:tc>
        <w:tc>
          <w:tcPr>
            <w:tcW w:type="dxa" w:w="252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Recomendación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SNMPv1</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Community string en texto plano</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Ninguno</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CC0000"/>
                <w:sz w:val="20"/>
                <w:szCs w:val="20"/>
              </w:rPr>
              <w:t xml:space="preserve">PROHIBIDO en redes corporativas</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SNMPv2c</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Community string en texto plano</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Ninguno</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CC6600"/>
                <w:sz w:val="20"/>
                <w:szCs w:val="20"/>
              </w:rPr>
              <w:t xml:space="preserve">Evitar; solo para entornos aislados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SNMPv3</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Usuario + SHA-256</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AES-128 / AES-256</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6600"/>
                <w:sz w:val="20"/>
                <w:szCs w:val="20"/>
              </w:rPr>
              <w:t xml:space="preserve">REQUERIDO en producción</w:t>
            </w:r>
          </w:p>
        </w:tc>
      </w:tr>
    </w:tbl>
    <w:p>
      <w:pPr>
        <w:spacing w:after="160" w:before="60"/>
      </w:pPr>
    </w:p>
    <w:p>
      <w:pPr>
        <w:spacing w:after="80" w:before="180"/>
      </w:pPr>
      <w:r>
        <w:rPr>
          <w:rFonts w:ascii="Arial" w:cs="Arial" w:eastAsia="Arial" w:hAnsi="Arial"/>
          <w:b/>
          <w:bCs/>
          <w:color w:val="1F3864"/>
          <w:sz w:val="22"/>
          <w:szCs w:val="22"/>
        </w:rPr>
        <w:t xml:space="preserve">SSH: requerimientos técnicos para implementación correcta</w:t>
      </w:r>
    </w:p>
    <w:p>
      <w:pPr>
        <w:spacing w:after="100" w:before="60"/>
        <w:jc w:val="both"/>
      </w:pPr>
      <w:r>
        <w:rPr>
          <w:rFonts w:ascii="Arial" w:cs="Arial" w:eastAsia="Arial" w:hAnsi="Arial"/>
          <w:sz w:val="22"/>
          <w:szCs w:val="22"/>
        </w:rPr>
        <w:t xml:space="preserve">El proyecto documenta la dificultad de implementar SSH en Cisco Packet Tracer con ciertos modelos de switch. En un entorno de producción, los requerimientos mínimos para SSH v2 son: nombre de dominio configurado (ip domain-name), par de claves RSA de mínimo 2048 bits (las claves de 1024 bits ya son consideradas insuficientes según NIST SP 800-131A desde 2015), y la deshabilitación explícita de SSHv1 mediante el comando ip ssh version 2.</w:t>
      </w:r>
    </w:p>
    <w:p>
      <w:pPr>
        <w:spacing w:after="80" w:before="180"/>
      </w:pPr>
      <w:r>
        <w:rPr>
          <w:rFonts w:ascii="Arial" w:cs="Arial" w:eastAsia="Arial" w:hAnsi="Arial"/>
          <w:b/>
          <w:bCs/>
          <w:color w:val="1F3864"/>
          <w:sz w:val="22"/>
          <w:szCs w:val="22"/>
        </w:rPr>
        <w:t xml:space="preserve">Herramientas de visibilidad y análisis de tráfico</w:t>
      </w:r>
    </w:p>
    <w:p>
      <w:pPr>
        <w:spacing w:after="100" w:before="60"/>
        <w:jc w:val="both"/>
      </w:pPr>
      <w:r>
        <w:rPr>
          <w:rFonts w:ascii="Arial" w:cs="Arial" w:eastAsia="Arial" w:hAnsi="Arial"/>
          <w:sz w:val="22"/>
          <w:szCs w:val="22"/>
        </w:rPr>
        <w:t xml:space="preserve">Más allá de SSH y SNMP, una gestión de red madura requiere herramientas de visibilidad de flujos de tráfico. NetFlow/IPFIX (RFC 7011) permite exportar metadatos de cada flujo de red —IP origen/destino, puertos, protocolo, volumen— hacia un colector centralizado. Esta capacidad es crítica para:</w:t>
      </w:r>
    </w:p>
    <w:p>
      <w:pPr>
        <w:pStyle w:val="ListParagraph"/>
        <w:numPr>
          <w:ilvl w:val="0"/>
          <w:numId w:val="2"/>
        </w:numPr>
        <w:spacing w:after="60" w:before="40"/>
      </w:pPr>
      <w:r>
        <w:rPr>
          <w:rFonts w:ascii="Arial" w:cs="Arial" w:eastAsia="Arial" w:hAnsi="Arial"/>
          <w:sz w:val="22"/>
          <w:szCs w:val="22"/>
        </w:rPr>
        <w:t xml:space="preserve">Detección de anomalías: tráfico inusual desde la VLAN de CCTV hacia internet podría indicar una cámara comprometida siendo utilizada en una botnet.</w:t>
      </w:r>
    </w:p>
    <w:p>
      <w:pPr>
        <w:pStyle w:val="ListParagraph"/>
        <w:numPr>
          <w:ilvl w:val="0"/>
          <w:numId w:val="2"/>
        </w:numPr>
        <w:spacing w:after="60" w:before="40"/>
      </w:pPr>
      <w:r>
        <w:rPr>
          <w:rFonts w:ascii="Arial" w:cs="Arial" w:eastAsia="Arial" w:hAnsi="Arial"/>
          <w:sz w:val="22"/>
          <w:szCs w:val="22"/>
        </w:rPr>
        <w:t xml:space="preserve">Planificación de capacidad: identificar qué aplicaciones o departamentos consumen mayor ancho de banda y proyectar necesidades futuras.</w:t>
      </w:r>
    </w:p>
    <w:p>
      <w:pPr>
        <w:pStyle w:val="ListParagraph"/>
        <w:numPr>
          <w:ilvl w:val="0"/>
          <w:numId w:val="2"/>
        </w:numPr>
        <w:spacing w:after="60" w:before="40"/>
      </w:pPr>
      <w:r>
        <w:rPr>
          <w:rFonts w:ascii="Arial" w:cs="Arial" w:eastAsia="Arial" w:hAnsi="Arial"/>
          <w:sz w:val="22"/>
          <w:szCs w:val="22"/>
        </w:rPr>
        <w:t xml:space="preserve">Investigación forense: ante un incidente de seguridad, los registros de NetFlow permiten reconstruir el flujo de comunicaciones para determinar el alcance de la brecha.</w:t>
      </w:r>
    </w:p>
    <w:p>
      <w:pPr>
        <w:pStyle w:val="ListParagraph"/>
        <w:numPr>
          <w:ilvl w:val="0"/>
          <w:numId w:val="2"/>
        </w:numPr>
        <w:spacing w:after="60" w:before="40"/>
      </w:pPr>
      <w:r>
        <w:rPr>
          <w:rFonts w:ascii="Arial" w:cs="Arial" w:eastAsia="Arial" w:hAnsi="Arial"/>
          <w:sz w:val="22"/>
          <w:szCs w:val="22"/>
        </w:rPr>
        <w:t xml:space="preserve">Cumplimiento regulatorio: en industrias reguladas, la retención de registros de flujo de red es un requerimiento de auditoría.</w:t>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g.  Servicios de Red: DHCP, DNS, Correo y Web</w:t>
      </w:r>
    </w:p>
    <w:p>
      <w:pPr>
        <w:spacing w:after="100" w:before="60"/>
        <w:jc w:val="both"/>
      </w:pPr>
      <w:r>
        <w:rPr>
          <w:rFonts w:ascii="Arial" w:cs="Arial" w:eastAsia="Arial" w:hAnsi="Arial"/>
          <w:sz w:val="22"/>
          <w:szCs w:val="22"/>
        </w:rPr>
        <w:t xml:space="preserve">Los servicios de red son la capa de aplicación que sustenta la operación diaria del Corporativo XYZ. Su diseño debe contemplar no solo la funcionalidad básica, sino también alta disponibilidad, seguridad y escalabilidad.</w:t>
      </w:r>
    </w:p>
    <w:p>
      <w:pPr>
        <w:spacing w:after="80" w:before="180"/>
      </w:pPr>
      <w:r>
        <w:rPr>
          <w:rFonts w:ascii="Arial" w:cs="Arial" w:eastAsia="Arial" w:hAnsi="Arial"/>
          <w:b/>
          <w:bCs/>
          <w:color w:val="1F3864"/>
          <w:sz w:val="22"/>
          <w:szCs w:val="22"/>
        </w:rPr>
        <w:t xml:space="preserve">DHCP: diseño jerárquico y consideraciones de seguridad</w:t>
      </w:r>
    </w:p>
    <w:p>
      <w:pPr>
        <w:spacing w:after="100" w:before="60"/>
        <w:jc w:val="both"/>
      </w:pPr>
      <w:r>
        <w:rPr>
          <w:rFonts w:ascii="Arial" w:cs="Arial" w:eastAsia="Arial" w:hAnsi="Arial"/>
          <w:sz w:val="22"/>
          <w:szCs w:val="22"/>
        </w:rPr>
        <w:t xml:space="preserve">En la arquitectura del Corporativo XYZ, el servicio DHCP centralizado en el Datacenter debe llegar a 51 VLANs distribuidas en 7 pisos y 3 sedes remotas. El mecanismo ip helper-address en cada SVI de los switches de distribución reenvía el broadcast DHCP del cliente como unicast hacia el servidor centralizado. El dimensionamiento del servidor debe contemplar:</w:t>
      </w:r>
    </w:p>
    <w:p>
      <w:pPr>
        <w:pStyle w:val="ListParagraph"/>
        <w:numPr>
          <w:ilvl w:val="0"/>
          <w:numId w:val="2"/>
        </w:numPr>
        <w:spacing w:after="60" w:before="40"/>
      </w:pPr>
      <w:r>
        <w:rPr>
          <w:rFonts w:ascii="Arial" w:cs="Arial" w:eastAsia="Arial" w:hAnsi="Arial"/>
          <w:sz w:val="22"/>
          <w:szCs w:val="22"/>
        </w:rPr>
        <w:t xml:space="preserve">Lease time apropiado por segmento: dispositivos fijos de escritorio pueden tener leases de 8-24 horas, mientras que segmentos de WiFi de visitantes deben configurarse con leases cortos de 1-2 horas para evitar el agotamiento del pool de direcciones.</w:t>
      </w:r>
    </w:p>
    <w:p>
      <w:pPr>
        <w:pStyle w:val="ListParagraph"/>
        <w:numPr>
          <w:ilvl w:val="0"/>
          <w:numId w:val="2"/>
        </w:numPr>
        <w:spacing w:after="60" w:before="40"/>
      </w:pPr>
      <w:r>
        <w:rPr>
          <w:rFonts w:ascii="Arial" w:cs="Arial" w:eastAsia="Arial" w:hAnsi="Arial"/>
          <w:sz w:val="22"/>
          <w:szCs w:val="22"/>
        </w:rPr>
        <w:t xml:space="preserve">Reservas de IP estáticas: servidores, impresoras y cámaras CCTV deben tener asignaciones estáticas por MAC address dentro del servidor DHCP para garantizar direccionamiento predecible sin perder la gestión centralizada.</w:t>
      </w:r>
    </w:p>
    <w:p>
      <w:pPr>
        <w:pStyle w:val="ListParagraph"/>
        <w:numPr>
          <w:ilvl w:val="0"/>
          <w:numId w:val="2"/>
        </w:numPr>
        <w:spacing w:after="60" w:before="40"/>
      </w:pPr>
      <w:r>
        <w:rPr>
          <w:rFonts w:ascii="Arial" w:cs="Arial" w:eastAsia="Arial" w:hAnsi="Arial"/>
          <w:sz w:val="22"/>
          <w:szCs w:val="22"/>
        </w:rPr>
        <w:t xml:space="preserve">DHCP Snooping: habilitado en todos los switches para prevenir la aparición de servidores DHCP no autorizados (rogue DHCP servers) que podrían asignar direcciones falsas de gateway a los usuarios, facilitando ataques man-in-the-middle.</w:t>
      </w:r>
    </w:p>
    <w:p>
      <w:pPr>
        <w:spacing w:after="80" w:before="180"/>
      </w:pPr>
      <w:r>
        <w:rPr>
          <w:rFonts w:ascii="Arial" w:cs="Arial" w:eastAsia="Arial" w:hAnsi="Arial"/>
          <w:b/>
          <w:bCs/>
          <w:color w:val="1F3864"/>
          <w:sz w:val="22"/>
          <w:szCs w:val="22"/>
        </w:rPr>
        <w:t xml:space="preserve">DNS: arquitectura de resolución y seguridad</w:t>
      </w:r>
    </w:p>
    <w:p>
      <w:pPr>
        <w:spacing w:after="100" w:before="60"/>
        <w:jc w:val="both"/>
      </w:pPr>
      <w:r>
        <w:rPr>
          <w:rFonts w:ascii="Arial" w:cs="Arial" w:eastAsia="Arial" w:hAnsi="Arial"/>
          <w:sz w:val="22"/>
          <w:szCs w:val="22"/>
        </w:rPr>
        <w:t xml:space="preserve">El diseño de DNS para el Corporativo XYZ debe implementar una arquitectura de split-DNS (DNS dividido): el servidor DNS interno resuelve los nombres del dominio corporativo (corp.xyz.com) con direcciones IP privadas para usuarios internos, mientras que el DNS público expuesto en la nube simulada resuelve únicamente los registros públicos del portal web externo. Esta separación previene que usuarios externos puedan enumerar la topología interna de la red.</w:t>
      </w:r>
    </w:p>
    <w:p>
      <w:pPr>
        <w:spacing w:after="100" w:before="60"/>
        <w:jc w:val="both"/>
      </w:pPr>
      <w:r>
        <w:rPr>
          <w:rFonts w:ascii="Arial" w:cs="Arial" w:eastAsia="Arial" w:hAnsi="Arial"/>
          <w:sz w:val="22"/>
          <w:szCs w:val="22"/>
        </w:rPr>
        <w:t xml:space="preserve">Adicionalmente, DNSSEC (DNS Security Extensions, RFC 4033-4035) debe contemplarse para firmar criptográficamente las zonas DNS, previniendo ataques de envenenamiento de caché DNS (DNS cache poisoning), donde un atacante podría redirigir a los usuarios a sitios maliciosos resolviendo nombres legítimos con IPs falsas.</w:t>
      </w:r>
    </w:p>
    <w:p>
      <w:pPr>
        <w:spacing w:after="80" w:before="180"/>
      </w:pPr>
      <w:r>
        <w:rPr>
          <w:rFonts w:ascii="Arial" w:cs="Arial" w:eastAsia="Arial" w:hAnsi="Arial"/>
          <w:b/>
          <w:bCs/>
          <w:color w:val="1F3864"/>
          <w:sz w:val="22"/>
          <w:szCs w:val="22"/>
        </w:rPr>
        <w:t xml:space="preserve">Correo electrónico: arquitectura y relay seguro</w:t>
      </w:r>
    </w:p>
    <w:p>
      <w:pPr>
        <w:spacing w:after="100" w:before="60"/>
        <w:jc w:val="both"/>
      </w:pPr>
      <w:r>
        <w:rPr>
          <w:rFonts w:ascii="Arial" w:cs="Arial" w:eastAsia="Arial" w:hAnsi="Arial"/>
          <w:sz w:val="22"/>
          <w:szCs w:val="22"/>
        </w:rPr>
        <w:t xml:space="preserve">La implementación de servicios de correo con SMTP/POP3 en el Corporativo XYZ debe distinguir entre el servidor de correo interno —que gestiona la comunicación entre departamentos— y el relay de correo en la nube simulada, que maneja el correo hacia y desde Internet. Esta arquitectura de relay protege la reputación del dominio corporativo y permite aplicar filtros antispam y antivirus en el perímetro antes de que el correo llegue a los servidores internos. El relay en la nube simulada debe configurarse para aceptar correo únicamente desde la IP del servidor de correo interno (relay autenticado), previniendo que sea utilizado como open relay por spammers.</w:t>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Conclusiones de la Investigación</w:t>
      </w:r>
    </w:p>
    <w:p>
      <w:pPr>
        <w:spacing w:after="100" w:before="60"/>
        <w:jc w:val="both"/>
      </w:pPr>
      <w:r>
        <w:rPr>
          <w:rFonts w:ascii="Arial" w:cs="Arial" w:eastAsia="Arial" w:hAnsi="Arial"/>
          <w:sz w:val="22"/>
          <w:szCs w:val="22"/>
        </w:rPr>
        <w:t xml:space="preserve">La profundización en los temas de investigación del proyecto revela que las decisiones técnicas tomadas —arquitectura jerárquica de tres capas, OSPF interno con BGP en el borde, RSTP sobre STP clásico, HSRP por VLAN, y servicios de red centralizados con DHCP relay— tienen una justificación técnica sólida respaldada por estándares internacionales (RFC 2328, RFC 4271, RFC 5798, NIST SP 800-145, ISO/IEC 27001).</w:t>
      </w:r>
    </w:p>
    <w:p>
      <w:pPr>
        <w:spacing w:after="100" w:before="60"/>
        <w:jc w:val="both"/>
      </w:pPr>
      <w:r>
        <w:rPr>
          <w:rFonts w:ascii="Arial" w:cs="Arial" w:eastAsia="Arial" w:hAnsi="Arial"/>
          <w:sz w:val="22"/>
          <w:szCs w:val="22"/>
        </w:rPr>
        <w:t xml:space="preserve">Los puntos que el diseño debe reforzar hacia la implementación final son: la autenticación de OSPF con MD5 para prevenir inyección de rutas falsas, la migración de SNMPv2c a SNMPv3 con cifrado AES, la implementación de DHCP Snooping y Dynamic ARP Inspection como controles de Capa 2, y la configuración de prefix-lists en BGP para evitar la fuga de rutas privadas hacia el ISP. Estos elementos elevan el proyecto de una implementación funcional a una solución alineada con las mejores prácticas de redes empresariales modernas.</w:t>
      </w:r>
    </w:p>
    <w:p>
      <w:pPr>
        <w:spacing w:after="80" w:before="120"/>
      </w:pPr>
    </w:p>
    <w:p>
      <w:pPr>
        <w:pBdr>
          <w:bottom w:val="single" w:color="2E75B6" w:sz="4" w:space="1"/>
        </w:pBdr>
        <w:spacing w:after="160" w:before="160"/>
      </w:pPr>
    </w:p>
    <w:p>
      <w:pPr>
        <w:spacing w:after="0" w:before="80"/>
        <w:jc w:val="right"/>
      </w:pPr>
      <w:r>
        <w:rPr>
          <w:rFonts w:ascii="Arial" w:cs="Arial" w:eastAsia="Arial" w:hAnsi="Arial"/>
          <w:color w:val="888888"/>
          <w:sz w:val="18"/>
          <w:szCs w:val="18"/>
        </w:rPr>
        <w:t xml:space="preserve">Proyecto Integrador — Redes y Telecomunicaciones, Sección 1  |  URL,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2026-05-07T06:30:55.709Z</dcterms:created>
  <dcterms:modified xsi:type="dcterms:W3CDTF">2026-05-07T06:30:55.709Z</dcterms:modified>
</cp:coreProperties>
</file>

<file path=docProps/custom.xml><?xml version="1.0" encoding="utf-8"?>
<Properties xmlns="http://schemas.openxmlformats.org/officeDocument/2006/custom-properties" xmlns:vt="http://schemas.openxmlformats.org/officeDocument/2006/docPropsVTypes"/>
</file>