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E3" w:rsidRDefault="00E764E3" w:rsidP="00E764E3">
      <w:pPr>
        <w:pStyle w:val="a3"/>
      </w:pPr>
      <w:r>
        <w:rPr>
          <w:rFonts w:hint="eastAsia"/>
        </w:rPr>
        <w:t>자산, 부채, 자본의 개념</w:t>
      </w:r>
    </w:p>
    <w:p w:rsidR="00E764E3" w:rsidRDefault="00E764E3" w:rsidP="00E82366">
      <w:r>
        <w:t>자산의 정의</w:t>
      </w:r>
    </w:p>
    <w:p w:rsidR="00E764E3" w:rsidRDefault="00E764E3" w:rsidP="00E764E3">
      <w:r>
        <w:t>자산이란 과거의 거래나 사전의 결과로부터 기업이 통제하거나 획득한 미래의 경제적 효익을 의미한다. 즉, 자산은 미래의 경제적 효익을 제공할 수 있는 용역잠재력을 가진 자원이다.</w:t>
      </w:r>
    </w:p>
    <w:p w:rsidR="00E764E3" w:rsidRDefault="00E764E3" w:rsidP="00E764E3">
      <w:pPr>
        <w:pStyle w:val="1"/>
      </w:pPr>
      <w:r>
        <w:t>자산의 분류</w:t>
      </w:r>
    </w:p>
    <w:p w:rsidR="00E764E3" w:rsidRDefault="00E764E3" w:rsidP="00E764E3">
      <w:r>
        <w:t>자산의 분류는 이용</w:t>
      </w:r>
      <w:r w:rsidR="00CB69E1">
        <w:rPr>
          <w:rFonts w:hint="eastAsia"/>
        </w:rPr>
        <w:t xml:space="preserve"> </w:t>
      </w:r>
      <w:r>
        <w:t>가능한 자원의 유동성 및 금액을 나타내야 할 뿐만 아니라 경영자가 당해 자원을 이용하고자 하는 목적도 나타내야 한다. 그러므로 기능이 다른 자산은 상호 분리하여 보고하는 것이 바람직하다</w:t>
      </w:r>
      <w:r w:rsidR="00CB69E1">
        <w:t>.</w:t>
      </w:r>
    </w:p>
    <w:p w:rsidR="00E764E3" w:rsidRDefault="00E764E3" w:rsidP="00E764E3">
      <w:r>
        <w:t>예로써, 재고</w:t>
      </w:r>
      <w:r w:rsidR="00CB69E1">
        <w:rPr>
          <w:rFonts w:hint="eastAsia"/>
        </w:rPr>
        <w:t xml:space="preserve"> </w:t>
      </w:r>
      <w:r>
        <w:t>자산과 유형 자산을 들 수 있는데 재고</w:t>
      </w:r>
      <w:r w:rsidR="00CB69E1">
        <w:rPr>
          <w:rFonts w:hint="eastAsia"/>
        </w:rPr>
        <w:t xml:space="preserve"> </w:t>
      </w:r>
      <w:r>
        <w:t>자산은 판매를 통하여 직접적으로 현금의 유입을 창출하게 되나 유형자산은 재고</w:t>
      </w:r>
      <w:r w:rsidR="00CB69E1">
        <w:rPr>
          <w:rFonts w:hint="eastAsia"/>
        </w:rPr>
        <w:t xml:space="preserve"> </w:t>
      </w:r>
      <w:r>
        <w:t xml:space="preserve">자산을 생산하여 간접적으로 현금흐름을 유발하게 된다. 따라서 이 두 범주의 자산을 분리하여 보고한다. </w:t>
      </w:r>
    </w:p>
    <w:p w:rsidR="00E764E3" w:rsidRDefault="00E764E3" w:rsidP="00E764E3">
      <w:r>
        <w:t>또한 매출채권과 같</w:t>
      </w:r>
      <w:r>
        <w:rPr>
          <w:rFonts w:hint="eastAsia"/>
        </w:rPr>
        <w:t>이</w:t>
      </w:r>
      <w:r>
        <w:t xml:space="preserve"> 유동성이 큰 자산과 건물과 같은 유동성이 적은 자산으로 분리해서 보고한다.</w:t>
      </w:r>
    </w:p>
    <w:p w:rsidR="00E764E3" w:rsidRDefault="00E764E3" w:rsidP="00E764E3">
      <w:pPr>
        <w:pStyle w:val="2"/>
      </w:pPr>
      <w:r>
        <w:t>유동자산</w:t>
      </w:r>
    </w:p>
    <w:p w:rsidR="00E764E3" w:rsidRDefault="00E764E3" w:rsidP="00E764E3">
      <w:r>
        <w:t>유동자산이란 1년 기준 또는 영업순환기준에 따라 현금화되었거나 또는 정상적인 영업순환과정에서 단기간 내에 직접 또는 간접으로 현금화되거나 비용화되는 자산을 말한다. 이러한 유동자산은 그 성질내지는 기능에 따라 다시 당좌자산과 재고자산으로 세분된다.</w:t>
      </w:r>
    </w:p>
    <w:tbl>
      <w:tblPr>
        <w:tblStyle w:val="-20"/>
        <w:tblW w:w="0" w:type="auto"/>
        <w:tblLook w:val="0480"/>
      </w:tblPr>
      <w:tblGrid>
        <w:gridCol w:w="1668"/>
        <w:gridCol w:w="7556"/>
      </w:tblGrid>
      <w:tr w:rsidR="00CB69E1" w:rsidRPr="00CB69E1" w:rsidTr="00D25AB2">
        <w:trPr>
          <w:cnfStyle w:val="000000100000"/>
        </w:trPr>
        <w:tc>
          <w:tcPr>
            <w:cnfStyle w:val="001000000000"/>
            <w:tcW w:w="1668" w:type="dxa"/>
            <w:vAlign w:val="center"/>
          </w:tcPr>
          <w:p w:rsidR="00CB69E1" w:rsidRPr="00CB69E1" w:rsidRDefault="00CB69E1" w:rsidP="00D25AB2">
            <w:pPr>
              <w:jc w:val="center"/>
            </w:pPr>
            <w:r w:rsidRPr="00CB69E1">
              <w:t>당좌자산</w:t>
            </w:r>
          </w:p>
        </w:tc>
        <w:tc>
          <w:tcPr>
            <w:tcW w:w="7556" w:type="dxa"/>
          </w:tcPr>
          <w:p w:rsidR="00CB69E1" w:rsidRPr="00324CEC" w:rsidRDefault="00CB69E1" w:rsidP="007775A5">
            <w:pPr>
              <w:cnfStyle w:val="000000100000"/>
              <w:rPr>
                <w:sz w:val="18"/>
              </w:rPr>
            </w:pPr>
            <w:r w:rsidRPr="00324CEC">
              <w:rPr>
                <w:sz w:val="18"/>
              </w:rPr>
              <w:t>현금 및 현금등가물, 단기금융상품, 유가증권, 매출채권(단기의 외상매출금, 받을 어음), 단기대여금, 미수금, 미수수익, 선급금, 선급비용, 기타의 당좌자산</w:t>
            </w:r>
          </w:p>
        </w:tc>
      </w:tr>
      <w:tr w:rsidR="00CB69E1" w:rsidRPr="00CB69E1" w:rsidTr="00D25AB2">
        <w:tc>
          <w:tcPr>
            <w:cnfStyle w:val="001000000000"/>
            <w:tcW w:w="1668" w:type="dxa"/>
            <w:vAlign w:val="center"/>
          </w:tcPr>
          <w:p w:rsidR="00CB69E1" w:rsidRPr="00CB69E1" w:rsidRDefault="00CB69E1" w:rsidP="00D25AB2">
            <w:pPr>
              <w:jc w:val="center"/>
            </w:pPr>
            <w:r w:rsidRPr="00CB69E1">
              <w:t>재고자산</w:t>
            </w:r>
          </w:p>
        </w:tc>
        <w:tc>
          <w:tcPr>
            <w:tcW w:w="7556" w:type="dxa"/>
          </w:tcPr>
          <w:p w:rsidR="00CB69E1" w:rsidRPr="00324CEC" w:rsidRDefault="00CB69E1" w:rsidP="00EE1D35">
            <w:pPr>
              <w:cnfStyle w:val="000000000000"/>
              <w:rPr>
                <w:sz w:val="18"/>
              </w:rPr>
            </w:pPr>
            <w:r w:rsidRPr="00324CEC">
              <w:rPr>
                <w:sz w:val="18"/>
              </w:rPr>
              <w:t xml:space="preserve">상품, 제품, 반제품, 재공품, 원재료, 저장품, 기타 재고자산 </w:t>
            </w:r>
          </w:p>
        </w:tc>
      </w:tr>
      <w:tr w:rsidR="00CB69E1" w:rsidRPr="00CB69E1" w:rsidTr="00D25AB2">
        <w:trPr>
          <w:cnfStyle w:val="000000100000"/>
        </w:trPr>
        <w:tc>
          <w:tcPr>
            <w:cnfStyle w:val="001000000000"/>
            <w:tcW w:w="1668" w:type="dxa"/>
            <w:vAlign w:val="center"/>
          </w:tcPr>
          <w:p w:rsidR="00CB69E1" w:rsidRPr="00CB69E1" w:rsidRDefault="00CB69E1" w:rsidP="00D25AB2">
            <w:pPr>
              <w:jc w:val="center"/>
            </w:pPr>
            <w:r w:rsidRPr="00CB69E1">
              <w:t>고정자산</w:t>
            </w:r>
          </w:p>
        </w:tc>
        <w:tc>
          <w:tcPr>
            <w:tcW w:w="7556" w:type="dxa"/>
          </w:tcPr>
          <w:p w:rsidR="00CB69E1" w:rsidRPr="00324CEC" w:rsidRDefault="00CB69E1" w:rsidP="00CB69E1">
            <w:pPr>
              <w:cnfStyle w:val="000000100000"/>
              <w:rPr>
                <w:sz w:val="18"/>
              </w:rPr>
            </w:pPr>
            <w:r w:rsidRPr="00324CEC">
              <w:rPr>
                <w:sz w:val="18"/>
              </w:rPr>
              <w:t>고정자산이라 함은 자산 중 유동자산으로 분류되지 아니하는 자산을 말하며, 이는 다시 투자자산, 유형자산, 무형자산으로 세분된다.</w:t>
            </w:r>
          </w:p>
        </w:tc>
      </w:tr>
      <w:tr w:rsidR="00CB69E1" w:rsidRPr="00CB69E1" w:rsidTr="00D25AB2">
        <w:tc>
          <w:tcPr>
            <w:cnfStyle w:val="001000000000"/>
            <w:tcW w:w="1668" w:type="dxa"/>
            <w:vAlign w:val="center"/>
          </w:tcPr>
          <w:p w:rsidR="00CB69E1" w:rsidRPr="00CB69E1" w:rsidRDefault="00CB69E1" w:rsidP="00D25AB2">
            <w:pPr>
              <w:jc w:val="center"/>
            </w:pPr>
            <w:r w:rsidRPr="00CB69E1">
              <w:t>투자자산</w:t>
            </w:r>
          </w:p>
        </w:tc>
        <w:tc>
          <w:tcPr>
            <w:tcW w:w="7556" w:type="dxa"/>
          </w:tcPr>
          <w:p w:rsidR="00CB69E1" w:rsidRPr="00324CEC" w:rsidRDefault="00CB69E1" w:rsidP="00CB69E1">
            <w:pPr>
              <w:cnfStyle w:val="000000000000"/>
              <w:rPr>
                <w:sz w:val="18"/>
              </w:rPr>
            </w:pPr>
            <w:r w:rsidRPr="00324CEC">
              <w:rPr>
                <w:sz w:val="18"/>
              </w:rPr>
              <w:t>투자목적 또는 기업지배를 목적으로 보유하고 있는 자산을 말한다.</w:t>
            </w:r>
            <w:r w:rsidRPr="00324CEC">
              <w:rPr>
                <w:rFonts w:hint="eastAsia"/>
                <w:sz w:val="18"/>
              </w:rPr>
              <w:t xml:space="preserve"> </w:t>
            </w:r>
            <w:r w:rsidRPr="00324CEC">
              <w:rPr>
                <w:sz w:val="18"/>
              </w:rPr>
              <w:t>장기 금융상품, 투자유가증권, 장기대여금, 장기성매출채권(장기의 외상매출금, 받을 어음), 투자부동산, 보증금, 이연법인세차, 기타 투자자산</w:t>
            </w:r>
          </w:p>
        </w:tc>
      </w:tr>
      <w:tr w:rsidR="00CB69E1" w:rsidRPr="00CB69E1" w:rsidTr="00D25AB2">
        <w:trPr>
          <w:cnfStyle w:val="000000100000"/>
        </w:trPr>
        <w:tc>
          <w:tcPr>
            <w:cnfStyle w:val="001000000000"/>
            <w:tcW w:w="1668" w:type="dxa"/>
            <w:vAlign w:val="center"/>
          </w:tcPr>
          <w:p w:rsidR="00CB69E1" w:rsidRPr="00CB69E1" w:rsidRDefault="00CB69E1" w:rsidP="00D25AB2">
            <w:pPr>
              <w:jc w:val="center"/>
            </w:pPr>
            <w:r w:rsidRPr="00CB69E1">
              <w:t>유형자산</w:t>
            </w:r>
          </w:p>
        </w:tc>
        <w:tc>
          <w:tcPr>
            <w:tcW w:w="7556" w:type="dxa"/>
          </w:tcPr>
          <w:p w:rsidR="00CB69E1" w:rsidRPr="00324CEC" w:rsidRDefault="00CB69E1" w:rsidP="00CB69E1">
            <w:pPr>
              <w:cnfStyle w:val="000000100000"/>
              <w:rPr>
                <w:sz w:val="18"/>
              </w:rPr>
            </w:pPr>
            <w:r w:rsidRPr="00324CEC">
              <w:rPr>
                <w:sz w:val="18"/>
              </w:rPr>
              <w:t>기업이 정상적인 영업활동에서 장기간에 걸쳐 사용할 목적으로 보유하고 있는 자산으로서 미래 경제적 효익을 기대할 수 있는 유형의 자산을 말한다.</w:t>
            </w:r>
            <w:r w:rsidRPr="00324CEC">
              <w:rPr>
                <w:rFonts w:hint="eastAsia"/>
                <w:sz w:val="18"/>
              </w:rPr>
              <w:t xml:space="preserve"> </w:t>
            </w:r>
            <w:r w:rsidRPr="00324CEC">
              <w:rPr>
                <w:sz w:val="18"/>
              </w:rPr>
              <w:t>토지, 건물, 구축물, 기계장치, 선박, 차량운반구, 건설 중인 자산, 기타 유형자산</w:t>
            </w:r>
          </w:p>
        </w:tc>
      </w:tr>
      <w:tr w:rsidR="00CB69E1" w:rsidRPr="00CB69E1" w:rsidTr="00D25AB2">
        <w:tc>
          <w:tcPr>
            <w:cnfStyle w:val="001000000000"/>
            <w:tcW w:w="1668" w:type="dxa"/>
            <w:vAlign w:val="center"/>
          </w:tcPr>
          <w:p w:rsidR="00CB69E1" w:rsidRPr="00CB69E1" w:rsidRDefault="00CB69E1" w:rsidP="00D25AB2">
            <w:pPr>
              <w:jc w:val="center"/>
            </w:pPr>
            <w:r w:rsidRPr="00CB69E1">
              <w:t>무형자산</w:t>
            </w:r>
          </w:p>
        </w:tc>
        <w:tc>
          <w:tcPr>
            <w:tcW w:w="7556" w:type="dxa"/>
          </w:tcPr>
          <w:p w:rsidR="00CB69E1" w:rsidRPr="00324CEC" w:rsidRDefault="00CB69E1" w:rsidP="00CB69E1">
            <w:pPr>
              <w:cnfStyle w:val="000000000000"/>
              <w:rPr>
                <w:sz w:val="18"/>
              </w:rPr>
            </w:pPr>
            <w:r w:rsidRPr="00324CEC">
              <w:rPr>
                <w:sz w:val="18"/>
              </w:rPr>
              <w:t xml:space="preserve">정상적인 영업활동과정에서 장기에 걸쳐 기업에 경제적 효익을 기대할 수 있는 무형의 자산을 의미한다. 영업권, 산업재산권, 광업권, 어업권, 차지권, 창업비, 개발비, 기타 무형자산 </w:t>
            </w:r>
          </w:p>
        </w:tc>
      </w:tr>
    </w:tbl>
    <w:p w:rsidR="00E764E3" w:rsidRDefault="00E764E3" w:rsidP="00E764E3">
      <w:pPr>
        <w:pStyle w:val="1"/>
      </w:pPr>
      <w:r>
        <w:t>부채의 정의</w:t>
      </w:r>
    </w:p>
    <w:p w:rsidR="00E764E3" w:rsidRDefault="00E764E3" w:rsidP="00E764E3">
      <w:r>
        <w:t>부채란 과거의 거래나 사건의 결과로써 미래에 특정실체가 다른 실체에게 자산을 이전하거나 용역을 제공해야 하는 현재의 의무로부터 발생하는 경제적 효익의 희생이다.</w:t>
      </w:r>
    </w:p>
    <w:p w:rsidR="00E764E3" w:rsidRDefault="00E764E3" w:rsidP="00E764E3">
      <w:pPr>
        <w:pStyle w:val="2"/>
      </w:pPr>
      <w:r>
        <w:t>부채의 분류</w:t>
      </w:r>
    </w:p>
    <w:p w:rsidR="00E764E3" w:rsidRDefault="00E764E3" w:rsidP="00E764E3">
      <w:r>
        <w:t xml:space="preserve">부채도 1년 기준에 의하여 유동부채와 고정부채로 분류된다. 유동부채는 1년 안에 상대방에게 대가를 지불할 의무가 있는 부채를, 고정부채는 1년 이상의 기간에 대가를 지불할 의무가 있는 부채를 말한다. 부채의 나열에 있어서도 유동성 배열법에 따라 </w:t>
      </w:r>
      <w:r>
        <w:rPr>
          <w:rFonts w:hint="eastAsia"/>
        </w:rPr>
        <w:t>배열된다</w:t>
      </w:r>
      <w:r>
        <w:t>.</w:t>
      </w:r>
    </w:p>
    <w:tbl>
      <w:tblPr>
        <w:tblStyle w:val="-20"/>
        <w:tblW w:w="0" w:type="auto"/>
        <w:tblLook w:val="0480"/>
      </w:tblPr>
      <w:tblGrid>
        <w:gridCol w:w="1668"/>
        <w:gridCol w:w="7556"/>
      </w:tblGrid>
      <w:tr w:rsidR="003E6E38" w:rsidRPr="003E6E38" w:rsidTr="00D25AB2">
        <w:trPr>
          <w:cnfStyle w:val="000000100000"/>
        </w:trPr>
        <w:tc>
          <w:tcPr>
            <w:cnfStyle w:val="001000000000"/>
            <w:tcW w:w="1668" w:type="dxa"/>
            <w:vAlign w:val="center"/>
          </w:tcPr>
          <w:p w:rsidR="003E6E38" w:rsidRPr="003E6E38" w:rsidRDefault="003E6E38" w:rsidP="00D25AB2">
            <w:pPr>
              <w:jc w:val="center"/>
            </w:pPr>
            <w:r w:rsidRPr="003E6E38">
              <w:lastRenderedPageBreak/>
              <w:t>유동부채</w:t>
            </w:r>
          </w:p>
        </w:tc>
        <w:tc>
          <w:tcPr>
            <w:tcW w:w="7556" w:type="dxa"/>
          </w:tcPr>
          <w:p w:rsidR="003E6E38" w:rsidRPr="00324CEC" w:rsidRDefault="003E6E38" w:rsidP="00B063D0">
            <w:pPr>
              <w:cnfStyle w:val="000000100000"/>
              <w:rPr>
                <w:sz w:val="18"/>
              </w:rPr>
            </w:pPr>
            <w:r w:rsidRPr="00324CEC">
              <w:rPr>
                <w:sz w:val="18"/>
              </w:rPr>
              <w:t>매입채무(단기의 외상매입금, 지급어음), 단기차입금, 미지급금, 선수금, 예수금, 미지금비용, 미지급법인세, 미지금배당금, 유동성장기부채, 선수수익, 단기부채성충당금, 기타의 유동부채</w:t>
            </w:r>
          </w:p>
        </w:tc>
      </w:tr>
      <w:tr w:rsidR="003E6E38" w:rsidRPr="003E6E38" w:rsidTr="00D25AB2">
        <w:tc>
          <w:tcPr>
            <w:cnfStyle w:val="001000000000"/>
            <w:tcW w:w="1668" w:type="dxa"/>
            <w:vAlign w:val="center"/>
          </w:tcPr>
          <w:p w:rsidR="003E6E38" w:rsidRPr="003E6E38" w:rsidRDefault="003E6E38" w:rsidP="00D25AB2">
            <w:pPr>
              <w:jc w:val="center"/>
            </w:pPr>
            <w:r w:rsidRPr="003E6E38">
              <w:t>고정부채</w:t>
            </w:r>
          </w:p>
        </w:tc>
        <w:tc>
          <w:tcPr>
            <w:tcW w:w="7556" w:type="dxa"/>
          </w:tcPr>
          <w:p w:rsidR="003E6E38" w:rsidRPr="00324CEC" w:rsidRDefault="003E6E38" w:rsidP="00B063D0">
            <w:pPr>
              <w:cnfStyle w:val="000000000000"/>
              <w:rPr>
                <w:sz w:val="18"/>
              </w:rPr>
            </w:pPr>
            <w:r w:rsidRPr="00324CEC">
              <w:rPr>
                <w:sz w:val="18"/>
              </w:rPr>
              <w:t xml:space="preserve">사채, 장기차입금, 장기성매입채무(장기의 외상매입금, 지금어음), 장기부채성충당금, 이연법인세대, 기타의 고정부채 </w:t>
            </w:r>
          </w:p>
        </w:tc>
      </w:tr>
    </w:tbl>
    <w:p w:rsidR="00E764E3" w:rsidRDefault="00E764E3" w:rsidP="00E764E3">
      <w:pPr>
        <w:pStyle w:val="1"/>
      </w:pPr>
      <w:r>
        <w:t>자본의 정의</w:t>
      </w:r>
    </w:p>
    <w:p w:rsidR="00E764E3" w:rsidRDefault="00E764E3" w:rsidP="00E764E3">
      <w:r>
        <w:t>자본이란 사업을 시작하기 위해서 또는 사업 중에 사업주가 투자하는 돈을 말한다. 자산총액에서 부채총액을 차감한 잔액으로 순자산이라고 한다.</w:t>
      </w:r>
    </w:p>
    <w:p w:rsidR="00E764E3" w:rsidRDefault="00E764E3" w:rsidP="00E764E3">
      <w:pPr>
        <w:pStyle w:val="1"/>
      </w:pPr>
      <w:r>
        <w:t>자본의 분류</w:t>
      </w:r>
    </w:p>
    <w:p w:rsidR="00E764E3" w:rsidRDefault="00E764E3" w:rsidP="00E764E3">
      <w:r>
        <w:t>자본은 그 발생원천에 따라 자본금, 자본잉여금, 이익잉여금, 자본조정으로 분류된다.</w:t>
      </w:r>
    </w:p>
    <w:p w:rsidR="00AF062F" w:rsidRPr="00E764E3" w:rsidRDefault="003C733E" w:rsidP="003C733E">
      <w:r>
        <w:rPr>
          <w:noProof/>
        </w:rPr>
        <w:drawing>
          <wp:inline distT="0" distB="0" distL="0" distR="0">
            <wp:extent cx="5486400" cy="3966354"/>
            <wp:effectExtent l="0" t="38100" r="0" b="15096"/>
            <wp:docPr id="2" name="다이어그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AF062F" w:rsidRPr="00E764E3" w:rsidSect="00AF062F">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AED" w:rsidRDefault="00405AED" w:rsidP="00324CEC">
      <w:r>
        <w:separator/>
      </w:r>
    </w:p>
  </w:endnote>
  <w:endnote w:type="continuationSeparator" w:id="1">
    <w:p w:rsidR="00405AED" w:rsidRDefault="00405AED" w:rsidP="00324CE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AED" w:rsidRDefault="00405AED" w:rsidP="00324CEC">
      <w:r>
        <w:separator/>
      </w:r>
    </w:p>
  </w:footnote>
  <w:footnote w:type="continuationSeparator" w:id="1">
    <w:p w:rsidR="00405AED" w:rsidRDefault="00405AED" w:rsidP="00324C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64E3"/>
    <w:rsid w:val="000A26DF"/>
    <w:rsid w:val="00214E34"/>
    <w:rsid w:val="00324CEC"/>
    <w:rsid w:val="00386F56"/>
    <w:rsid w:val="003C733E"/>
    <w:rsid w:val="003E6E38"/>
    <w:rsid w:val="00405AED"/>
    <w:rsid w:val="0065643F"/>
    <w:rsid w:val="008A2CC4"/>
    <w:rsid w:val="00AF062F"/>
    <w:rsid w:val="00CB69E1"/>
    <w:rsid w:val="00D25AB2"/>
    <w:rsid w:val="00E764E3"/>
    <w:rsid w:val="00E82366"/>
    <w:rsid w:val="00EE1D3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62F"/>
    <w:pPr>
      <w:widowControl w:val="0"/>
      <w:wordWrap w:val="0"/>
      <w:autoSpaceDE w:val="0"/>
      <w:autoSpaceDN w:val="0"/>
      <w:jc w:val="both"/>
    </w:pPr>
  </w:style>
  <w:style w:type="paragraph" w:styleId="1">
    <w:name w:val="heading 1"/>
    <w:basedOn w:val="a"/>
    <w:next w:val="a"/>
    <w:link w:val="1Char"/>
    <w:uiPriority w:val="9"/>
    <w:qFormat/>
    <w:rsid w:val="00E764E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E764E3"/>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764E3"/>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764E3"/>
    <w:rPr>
      <w:rFonts w:asciiTheme="majorHAnsi" w:eastAsiaTheme="majorEastAsia" w:hAnsiTheme="majorHAnsi" w:cstheme="majorBidi"/>
      <w:sz w:val="28"/>
      <w:szCs w:val="28"/>
    </w:rPr>
  </w:style>
  <w:style w:type="character" w:customStyle="1" w:styleId="2Char">
    <w:name w:val="제목 2 Char"/>
    <w:basedOn w:val="a0"/>
    <w:link w:val="2"/>
    <w:uiPriority w:val="9"/>
    <w:rsid w:val="00E764E3"/>
    <w:rPr>
      <w:rFonts w:asciiTheme="majorHAnsi" w:eastAsiaTheme="majorEastAsia" w:hAnsiTheme="majorHAnsi" w:cstheme="majorBidi"/>
    </w:rPr>
  </w:style>
  <w:style w:type="character" w:customStyle="1" w:styleId="3Char">
    <w:name w:val="제목 3 Char"/>
    <w:basedOn w:val="a0"/>
    <w:link w:val="3"/>
    <w:uiPriority w:val="9"/>
    <w:rsid w:val="00E764E3"/>
    <w:rPr>
      <w:rFonts w:asciiTheme="majorHAnsi" w:eastAsiaTheme="majorEastAsia" w:hAnsiTheme="majorHAnsi" w:cstheme="majorBidi"/>
    </w:rPr>
  </w:style>
  <w:style w:type="paragraph" w:styleId="a3">
    <w:name w:val="Title"/>
    <w:basedOn w:val="a"/>
    <w:next w:val="a"/>
    <w:link w:val="Char"/>
    <w:uiPriority w:val="10"/>
    <w:qFormat/>
    <w:rsid w:val="00E764E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764E3"/>
    <w:rPr>
      <w:rFonts w:asciiTheme="majorHAnsi" w:eastAsiaTheme="majorEastAsia" w:hAnsiTheme="majorHAnsi" w:cstheme="majorBidi"/>
      <w:b/>
      <w:bCs/>
      <w:sz w:val="32"/>
      <w:szCs w:val="32"/>
    </w:rPr>
  </w:style>
  <w:style w:type="table" w:styleId="a4">
    <w:name w:val="Table Grid"/>
    <w:basedOn w:val="a1"/>
    <w:uiPriority w:val="59"/>
    <w:rsid w:val="00CB69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1"/>
    <w:uiPriority w:val="60"/>
    <w:rsid w:val="00CB69E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CB69E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0">
    <w:name w:val="Colorful Grid Accent 2"/>
    <w:basedOn w:val="a1"/>
    <w:uiPriority w:val="73"/>
    <w:rsid w:val="00CB69E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1">
    <w:name w:val="Colorful Shading Accent 2"/>
    <w:basedOn w:val="a1"/>
    <w:uiPriority w:val="71"/>
    <w:rsid w:val="003E6E3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a5">
    <w:name w:val="Balloon Text"/>
    <w:basedOn w:val="a"/>
    <w:link w:val="Char0"/>
    <w:uiPriority w:val="99"/>
    <w:semiHidden/>
    <w:unhideWhenUsed/>
    <w:rsid w:val="003C733E"/>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3C733E"/>
    <w:rPr>
      <w:rFonts w:asciiTheme="majorHAnsi" w:eastAsiaTheme="majorEastAsia" w:hAnsiTheme="majorHAnsi" w:cstheme="majorBidi"/>
      <w:sz w:val="18"/>
      <w:szCs w:val="18"/>
    </w:rPr>
  </w:style>
  <w:style w:type="paragraph" w:styleId="a6">
    <w:name w:val="header"/>
    <w:basedOn w:val="a"/>
    <w:link w:val="Char1"/>
    <w:uiPriority w:val="99"/>
    <w:semiHidden/>
    <w:unhideWhenUsed/>
    <w:rsid w:val="00324CEC"/>
    <w:pPr>
      <w:tabs>
        <w:tab w:val="center" w:pos="4513"/>
        <w:tab w:val="right" w:pos="9026"/>
      </w:tabs>
      <w:snapToGrid w:val="0"/>
    </w:pPr>
  </w:style>
  <w:style w:type="character" w:customStyle="1" w:styleId="Char1">
    <w:name w:val="머리글 Char"/>
    <w:basedOn w:val="a0"/>
    <w:link w:val="a6"/>
    <w:uiPriority w:val="99"/>
    <w:semiHidden/>
    <w:rsid w:val="00324CEC"/>
  </w:style>
  <w:style w:type="paragraph" w:styleId="a7">
    <w:name w:val="footer"/>
    <w:basedOn w:val="a"/>
    <w:link w:val="Char2"/>
    <w:uiPriority w:val="99"/>
    <w:semiHidden/>
    <w:unhideWhenUsed/>
    <w:rsid w:val="00324CEC"/>
    <w:pPr>
      <w:tabs>
        <w:tab w:val="center" w:pos="4513"/>
        <w:tab w:val="right" w:pos="9026"/>
      </w:tabs>
      <w:snapToGrid w:val="0"/>
    </w:pPr>
  </w:style>
  <w:style w:type="character" w:customStyle="1" w:styleId="Char2">
    <w:name w:val="바닥글 Char"/>
    <w:basedOn w:val="a0"/>
    <w:link w:val="a7"/>
    <w:uiPriority w:val="99"/>
    <w:semiHidden/>
    <w:rsid w:val="00324CEC"/>
  </w:style>
</w:styles>
</file>

<file path=word/webSettings.xml><?xml version="1.0" encoding="utf-8"?>
<w:webSettings xmlns:r="http://schemas.openxmlformats.org/officeDocument/2006/relationships" xmlns:w="http://schemas.openxmlformats.org/wordprocessingml/2006/main">
  <w:divs>
    <w:div w:id="6317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E77FE-5596-49CE-9861-8882D711D7F6}" type="doc">
      <dgm:prSet loTypeId="urn:microsoft.com/office/officeart/2005/8/layout/vList5" loCatId="list" qsTypeId="urn:microsoft.com/office/officeart/2005/8/quickstyle/3d1" qsCatId="3D" csTypeId="urn:microsoft.com/office/officeart/2005/8/colors/colorful2" csCatId="colorful" phldr="1"/>
      <dgm:spPr/>
      <dgm:t>
        <a:bodyPr/>
        <a:lstStyle/>
        <a:p>
          <a:pPr latinLnBrk="1"/>
          <a:endParaRPr lang="ko-KR" altLang="en-US"/>
        </a:p>
      </dgm:t>
    </dgm:pt>
    <dgm:pt modelId="{FC6E9FF4-04F3-49C0-A2C0-E907286C1B22}">
      <dgm:prSet phldrT="[텍스트]" custT="1"/>
      <dgm:spPr/>
      <dgm:t>
        <a:bodyPr/>
        <a:lstStyle/>
        <a:p>
          <a:pPr latinLnBrk="1"/>
          <a:r>
            <a:rPr lang="ko-KR" altLang="en-US" sz="1100"/>
            <a:t>자본금</a:t>
          </a:r>
        </a:p>
      </dgm:t>
    </dgm:pt>
    <dgm:pt modelId="{3CB49938-DEF1-4727-8744-ACB4AD1F244A}" type="parTrans" cxnId="{CF923792-07E0-464D-AFCF-0B6A64B20FDF}">
      <dgm:prSet/>
      <dgm:spPr/>
      <dgm:t>
        <a:bodyPr/>
        <a:lstStyle/>
        <a:p>
          <a:pPr latinLnBrk="1"/>
          <a:endParaRPr lang="ko-KR" altLang="en-US"/>
        </a:p>
      </dgm:t>
    </dgm:pt>
    <dgm:pt modelId="{7A0DE063-3233-40FD-9DB4-B4B671BF741E}" type="sibTrans" cxnId="{CF923792-07E0-464D-AFCF-0B6A64B20FDF}">
      <dgm:prSet/>
      <dgm:spPr/>
      <dgm:t>
        <a:bodyPr/>
        <a:lstStyle/>
        <a:p>
          <a:pPr latinLnBrk="1"/>
          <a:endParaRPr lang="ko-KR" altLang="en-US"/>
        </a:p>
      </dgm:t>
    </dgm:pt>
    <dgm:pt modelId="{313079B7-4D5A-48F6-BB47-EF75BBECFE47}">
      <dgm:prSet custT="1"/>
      <dgm:spPr/>
      <dgm:t>
        <a:bodyPr/>
        <a:lstStyle/>
        <a:p>
          <a:pPr latinLnBrk="1"/>
          <a:r>
            <a:rPr lang="ko-KR" altLang="en-US" sz="900"/>
            <a:t>소유주나 주주들이 기업에 투자한 원금</a:t>
          </a:r>
        </a:p>
      </dgm:t>
    </dgm:pt>
    <dgm:pt modelId="{4E77420B-EF45-4B39-B124-53D0D64EE755}" type="parTrans" cxnId="{E0411760-32D6-48A9-B65F-2505278A270B}">
      <dgm:prSet/>
      <dgm:spPr/>
      <dgm:t>
        <a:bodyPr/>
        <a:lstStyle/>
        <a:p>
          <a:pPr latinLnBrk="1"/>
          <a:endParaRPr lang="ko-KR" altLang="en-US"/>
        </a:p>
      </dgm:t>
    </dgm:pt>
    <dgm:pt modelId="{D60E3565-07D2-4F0D-B580-1A18A3383CF1}" type="sibTrans" cxnId="{E0411760-32D6-48A9-B65F-2505278A270B}">
      <dgm:prSet/>
      <dgm:spPr/>
      <dgm:t>
        <a:bodyPr/>
        <a:lstStyle/>
        <a:p>
          <a:pPr latinLnBrk="1"/>
          <a:endParaRPr lang="ko-KR" altLang="en-US"/>
        </a:p>
      </dgm:t>
    </dgm:pt>
    <dgm:pt modelId="{A87E4D43-F931-4E39-921D-C1D76623A2C4}">
      <dgm:prSet custT="1"/>
      <dgm:spPr/>
      <dgm:t>
        <a:bodyPr/>
        <a:lstStyle/>
        <a:p>
          <a:pPr latinLnBrk="1"/>
          <a:r>
            <a:rPr lang="ko-KR" sz="900"/>
            <a:t>회사가 발행할 주식의 총수</a:t>
          </a:r>
          <a:r>
            <a:rPr lang="en-US" sz="900"/>
            <a:t>, 1</a:t>
          </a:r>
          <a:r>
            <a:rPr lang="ko-KR" sz="900"/>
            <a:t>주의 금액 및 발행한 주식의 수와 당해 회계연도 중에 증자</a:t>
          </a:r>
          <a:r>
            <a:rPr lang="en-US" sz="900"/>
            <a:t>, </a:t>
          </a:r>
          <a:r>
            <a:rPr lang="ko-KR" sz="900"/>
            <a:t>감자</a:t>
          </a:r>
          <a:r>
            <a:rPr lang="en-US" sz="900"/>
            <a:t>, </a:t>
          </a:r>
          <a:r>
            <a:rPr lang="ko-KR" sz="900"/>
            <a:t>주식배당 또는 기타의 사유로 자본금이 변동한 경우에는 그 내용을 주석으로 기재</a:t>
          </a:r>
        </a:p>
      </dgm:t>
    </dgm:pt>
    <dgm:pt modelId="{0898CCDD-DA76-4530-8C46-5877CA99BBD2}" type="parTrans" cxnId="{6D8642B7-C256-439F-92F9-906071438DCB}">
      <dgm:prSet/>
      <dgm:spPr/>
      <dgm:t>
        <a:bodyPr/>
        <a:lstStyle/>
        <a:p>
          <a:pPr latinLnBrk="1"/>
          <a:endParaRPr lang="ko-KR" altLang="en-US"/>
        </a:p>
      </dgm:t>
    </dgm:pt>
    <dgm:pt modelId="{0931A99D-8FF7-49C2-909C-9622BB060310}" type="sibTrans" cxnId="{6D8642B7-C256-439F-92F9-906071438DCB}">
      <dgm:prSet/>
      <dgm:spPr/>
      <dgm:t>
        <a:bodyPr/>
        <a:lstStyle/>
        <a:p>
          <a:pPr latinLnBrk="1"/>
          <a:endParaRPr lang="ko-KR" altLang="en-US"/>
        </a:p>
      </dgm:t>
    </dgm:pt>
    <dgm:pt modelId="{8E126E01-2475-4775-8485-C6A36B204577}">
      <dgm:prSet custT="1"/>
      <dgm:spPr/>
      <dgm:t>
        <a:bodyPr/>
        <a:lstStyle/>
        <a:p>
          <a:pPr latinLnBrk="1"/>
          <a:r>
            <a:rPr lang="ko-KR" altLang="en-US" sz="1100"/>
            <a:t>자본 잉여금</a:t>
          </a:r>
        </a:p>
      </dgm:t>
    </dgm:pt>
    <dgm:pt modelId="{27A99D04-BEEB-4468-93E4-340C1144C5A5}" type="parTrans" cxnId="{0F1D8062-18F3-4BC7-9242-3C2B915B5F2F}">
      <dgm:prSet/>
      <dgm:spPr/>
      <dgm:t>
        <a:bodyPr/>
        <a:lstStyle/>
        <a:p>
          <a:pPr latinLnBrk="1"/>
          <a:endParaRPr lang="ko-KR" altLang="en-US"/>
        </a:p>
      </dgm:t>
    </dgm:pt>
    <dgm:pt modelId="{D1A0FA14-EAA9-4294-9AA1-66803C04721C}" type="sibTrans" cxnId="{0F1D8062-18F3-4BC7-9242-3C2B915B5F2F}">
      <dgm:prSet/>
      <dgm:spPr/>
      <dgm:t>
        <a:bodyPr/>
        <a:lstStyle/>
        <a:p>
          <a:pPr latinLnBrk="1"/>
          <a:endParaRPr lang="ko-KR" altLang="en-US"/>
        </a:p>
      </dgm:t>
    </dgm:pt>
    <dgm:pt modelId="{424CB2F1-0A90-46B1-BE5E-F1592C5309D9}">
      <dgm:prSet custT="1"/>
      <dgm:spPr/>
      <dgm:t>
        <a:bodyPr/>
        <a:lstStyle/>
        <a:p>
          <a:pPr latinLnBrk="1"/>
          <a:r>
            <a:rPr lang="ko-KR" altLang="en-US" sz="900"/>
            <a:t>자본거래에 의해 발생한 잉여금</a:t>
          </a:r>
        </a:p>
      </dgm:t>
    </dgm:pt>
    <dgm:pt modelId="{2EBDAFC8-C688-468A-919E-D77846EE3F2E}" type="parTrans" cxnId="{49C044D0-5580-4878-BFEC-9538256D1D75}">
      <dgm:prSet/>
      <dgm:spPr/>
      <dgm:t>
        <a:bodyPr/>
        <a:lstStyle/>
        <a:p>
          <a:pPr latinLnBrk="1"/>
          <a:endParaRPr lang="ko-KR" altLang="en-US"/>
        </a:p>
      </dgm:t>
    </dgm:pt>
    <dgm:pt modelId="{3E497B73-7DBB-4FF3-B7DA-D7A475AE972B}" type="sibTrans" cxnId="{49C044D0-5580-4878-BFEC-9538256D1D75}">
      <dgm:prSet/>
      <dgm:spPr/>
      <dgm:t>
        <a:bodyPr/>
        <a:lstStyle/>
        <a:p>
          <a:pPr latinLnBrk="1"/>
          <a:endParaRPr lang="ko-KR" altLang="en-US"/>
        </a:p>
      </dgm:t>
    </dgm:pt>
    <dgm:pt modelId="{CFE69571-9877-452D-9197-86503DD5871D}">
      <dgm:prSet custT="1"/>
      <dgm:spPr/>
      <dgm:t>
        <a:bodyPr/>
        <a:lstStyle/>
        <a:p>
          <a:pPr latinLnBrk="1"/>
          <a:r>
            <a:rPr lang="ko-KR" sz="900"/>
            <a:t>주식발행초과금</a:t>
          </a:r>
          <a:r>
            <a:rPr lang="en-US" sz="900"/>
            <a:t>, </a:t>
          </a:r>
          <a:r>
            <a:rPr lang="ko-KR" sz="900"/>
            <a:t>감자차익</a:t>
          </a:r>
          <a:r>
            <a:rPr lang="en-US" sz="900"/>
            <a:t>, </a:t>
          </a:r>
          <a:r>
            <a:rPr lang="ko-KR" sz="900"/>
            <a:t>재평가적립금</a:t>
          </a:r>
          <a:r>
            <a:rPr lang="en-US" sz="900"/>
            <a:t>, </a:t>
          </a:r>
          <a:r>
            <a:rPr lang="ko-KR" sz="900"/>
            <a:t>자산수증이익</a:t>
          </a:r>
          <a:r>
            <a:rPr lang="en-US" sz="900"/>
            <a:t>, </a:t>
          </a:r>
          <a:r>
            <a:rPr lang="ko-KR" sz="900"/>
            <a:t>채무면제이익</a:t>
          </a:r>
          <a:r>
            <a:rPr lang="en-US" sz="900"/>
            <a:t>, </a:t>
          </a:r>
          <a:r>
            <a:rPr lang="ko-KR" sz="900"/>
            <a:t>자기주식처분이익</a:t>
          </a:r>
          <a:r>
            <a:rPr lang="en-US" sz="900"/>
            <a:t>, </a:t>
          </a:r>
          <a:r>
            <a:rPr lang="ko-KR" sz="900"/>
            <a:t>합병차익</a:t>
          </a:r>
          <a:r>
            <a:rPr lang="en-US" sz="900"/>
            <a:t>, </a:t>
          </a:r>
          <a:r>
            <a:rPr lang="ko-KR" sz="900"/>
            <a:t>기타자본잉여금 등</a:t>
          </a:r>
        </a:p>
      </dgm:t>
    </dgm:pt>
    <dgm:pt modelId="{AAE3084B-5E36-413C-ABA7-7C2E0B8697E7}" type="parTrans" cxnId="{4670B83C-1537-47C3-B581-FBB5B9A4DAB3}">
      <dgm:prSet/>
      <dgm:spPr/>
      <dgm:t>
        <a:bodyPr/>
        <a:lstStyle/>
        <a:p>
          <a:pPr latinLnBrk="1"/>
          <a:endParaRPr lang="ko-KR" altLang="en-US"/>
        </a:p>
      </dgm:t>
    </dgm:pt>
    <dgm:pt modelId="{7BFB9E42-AA88-44D4-8C4A-BB3DCED79B49}" type="sibTrans" cxnId="{4670B83C-1537-47C3-B581-FBB5B9A4DAB3}">
      <dgm:prSet/>
      <dgm:spPr/>
      <dgm:t>
        <a:bodyPr/>
        <a:lstStyle/>
        <a:p>
          <a:pPr latinLnBrk="1"/>
          <a:endParaRPr lang="ko-KR" altLang="en-US"/>
        </a:p>
      </dgm:t>
    </dgm:pt>
    <dgm:pt modelId="{C3B1F011-A532-4768-AF13-5931108B71E8}">
      <dgm:prSet custT="1"/>
      <dgm:spPr/>
      <dgm:t>
        <a:bodyPr/>
        <a:lstStyle/>
        <a:p>
          <a:pPr latinLnBrk="1"/>
          <a:r>
            <a:rPr lang="ko-KR" altLang="en-US" sz="1100"/>
            <a:t>이익잉여금</a:t>
          </a:r>
        </a:p>
      </dgm:t>
    </dgm:pt>
    <dgm:pt modelId="{73FE6CB3-2593-49FB-8ABE-D34E44C0E19C}" type="parTrans" cxnId="{FBC4AA20-1531-4196-ACB0-376184A78E5C}">
      <dgm:prSet/>
      <dgm:spPr/>
      <dgm:t>
        <a:bodyPr/>
        <a:lstStyle/>
        <a:p>
          <a:pPr latinLnBrk="1"/>
          <a:endParaRPr lang="ko-KR" altLang="en-US"/>
        </a:p>
      </dgm:t>
    </dgm:pt>
    <dgm:pt modelId="{BEEE4A66-1B47-4475-9F19-0777804DFAE5}" type="sibTrans" cxnId="{FBC4AA20-1531-4196-ACB0-376184A78E5C}">
      <dgm:prSet/>
      <dgm:spPr/>
      <dgm:t>
        <a:bodyPr/>
        <a:lstStyle/>
        <a:p>
          <a:pPr latinLnBrk="1"/>
          <a:endParaRPr lang="ko-KR" altLang="en-US"/>
        </a:p>
      </dgm:t>
    </dgm:pt>
    <dgm:pt modelId="{CA1757A3-4527-42DC-98BC-975B9E4FCD3F}">
      <dgm:prSet custT="1"/>
      <dgm:spPr/>
      <dgm:t>
        <a:bodyPr/>
        <a:lstStyle/>
        <a:p>
          <a:pPr latinLnBrk="1"/>
          <a:r>
            <a:rPr lang="ko-KR" altLang="en-US" sz="900"/>
            <a:t>영업활동에 의해 발생한 이익으로 배당하지 않고 내부에 유보한 잉여금</a:t>
          </a:r>
        </a:p>
      </dgm:t>
    </dgm:pt>
    <dgm:pt modelId="{BB01EA26-CF2A-452F-B76C-998038903730}" type="parTrans" cxnId="{1E81D12C-8914-4034-B88A-42FF1FD3B648}">
      <dgm:prSet/>
      <dgm:spPr/>
      <dgm:t>
        <a:bodyPr/>
        <a:lstStyle/>
        <a:p>
          <a:pPr latinLnBrk="1"/>
          <a:endParaRPr lang="ko-KR" altLang="en-US"/>
        </a:p>
      </dgm:t>
    </dgm:pt>
    <dgm:pt modelId="{D23FE765-4305-431B-A767-E1DA93E47FAE}" type="sibTrans" cxnId="{1E81D12C-8914-4034-B88A-42FF1FD3B648}">
      <dgm:prSet/>
      <dgm:spPr/>
      <dgm:t>
        <a:bodyPr/>
        <a:lstStyle/>
        <a:p>
          <a:pPr latinLnBrk="1"/>
          <a:endParaRPr lang="ko-KR" altLang="en-US"/>
        </a:p>
      </dgm:t>
    </dgm:pt>
    <dgm:pt modelId="{49087C8E-F92D-4DC2-9387-13C879DBDA2C}">
      <dgm:prSet custT="1"/>
      <dgm:spPr/>
      <dgm:t>
        <a:bodyPr/>
        <a:lstStyle/>
        <a:p>
          <a:pPr latinLnBrk="1"/>
          <a:r>
            <a:rPr lang="ko-KR" sz="900"/>
            <a:t>이익준비금</a:t>
          </a:r>
          <a:r>
            <a:rPr lang="en-US" sz="900"/>
            <a:t>, </a:t>
          </a:r>
          <a:r>
            <a:rPr lang="ko-KR" sz="900"/>
            <a:t>기타법정적립금</a:t>
          </a:r>
          <a:r>
            <a:rPr lang="en-US" sz="900"/>
            <a:t>, </a:t>
          </a:r>
          <a:r>
            <a:rPr lang="ko-KR" sz="900"/>
            <a:t>임의적립금</a:t>
          </a:r>
          <a:r>
            <a:rPr lang="en-US" sz="900"/>
            <a:t>(</a:t>
          </a:r>
          <a:r>
            <a:rPr lang="ko-KR" sz="900"/>
            <a:t>사업 확장 적립금</a:t>
          </a:r>
          <a:r>
            <a:rPr lang="en-US" sz="900"/>
            <a:t>, </a:t>
          </a:r>
          <a:r>
            <a:rPr lang="ko-KR" sz="900"/>
            <a:t>감채적립금</a:t>
          </a:r>
          <a:r>
            <a:rPr lang="en-US" sz="900"/>
            <a:t>, </a:t>
          </a:r>
          <a:r>
            <a:rPr lang="ko-KR" sz="900"/>
            <a:t>배당평균적립금</a:t>
          </a:r>
          <a:r>
            <a:rPr lang="en-US" sz="900"/>
            <a:t>), </a:t>
          </a:r>
          <a:r>
            <a:rPr lang="ko-KR" sz="900"/>
            <a:t>차기이월이익잉여금</a:t>
          </a:r>
          <a:r>
            <a:rPr lang="en-US" sz="900"/>
            <a:t>, </a:t>
          </a:r>
          <a:r>
            <a:rPr lang="ko-KR" sz="900"/>
            <a:t>기업합리화적립금과 재무구조개선적립금 등</a:t>
          </a:r>
        </a:p>
      </dgm:t>
    </dgm:pt>
    <dgm:pt modelId="{6D311CBE-9935-42CB-A1D5-1DD5B453BD06}" type="parTrans" cxnId="{3A15A10B-1FFE-4361-8F23-0E3619DF7B0E}">
      <dgm:prSet/>
      <dgm:spPr/>
      <dgm:t>
        <a:bodyPr/>
        <a:lstStyle/>
        <a:p>
          <a:pPr latinLnBrk="1"/>
          <a:endParaRPr lang="ko-KR" altLang="en-US"/>
        </a:p>
      </dgm:t>
    </dgm:pt>
    <dgm:pt modelId="{FA489FD4-D416-4731-BFAD-8138006225BE}" type="sibTrans" cxnId="{3A15A10B-1FFE-4361-8F23-0E3619DF7B0E}">
      <dgm:prSet/>
      <dgm:spPr/>
      <dgm:t>
        <a:bodyPr/>
        <a:lstStyle/>
        <a:p>
          <a:pPr latinLnBrk="1"/>
          <a:endParaRPr lang="ko-KR" altLang="en-US"/>
        </a:p>
      </dgm:t>
    </dgm:pt>
    <dgm:pt modelId="{D5EFB617-6510-4726-9D56-EDBD5C244AFD}">
      <dgm:prSet custT="1"/>
      <dgm:spPr/>
      <dgm:t>
        <a:bodyPr/>
        <a:lstStyle/>
        <a:p>
          <a:pPr latinLnBrk="1"/>
          <a:r>
            <a:rPr lang="ko-KR" altLang="en-US" sz="1100"/>
            <a:t>자본조정</a:t>
          </a:r>
        </a:p>
      </dgm:t>
    </dgm:pt>
    <dgm:pt modelId="{69C1F09E-1334-4197-A5E8-EDE6A39EB131}" type="parTrans" cxnId="{F0E8A2B2-AF5A-45B7-81E6-B08C89E6A41C}">
      <dgm:prSet/>
      <dgm:spPr/>
      <dgm:t>
        <a:bodyPr/>
        <a:lstStyle/>
        <a:p>
          <a:pPr latinLnBrk="1"/>
          <a:endParaRPr lang="ko-KR" altLang="en-US"/>
        </a:p>
      </dgm:t>
    </dgm:pt>
    <dgm:pt modelId="{48CF080F-63C7-469D-9A69-A80BF65E2127}" type="sibTrans" cxnId="{F0E8A2B2-AF5A-45B7-81E6-B08C89E6A41C}">
      <dgm:prSet/>
      <dgm:spPr/>
      <dgm:t>
        <a:bodyPr/>
        <a:lstStyle/>
        <a:p>
          <a:pPr latinLnBrk="1"/>
          <a:endParaRPr lang="ko-KR" altLang="en-US"/>
        </a:p>
      </dgm:t>
    </dgm:pt>
    <dgm:pt modelId="{0CEEB413-E225-41F1-A0ED-B83DE8A11204}">
      <dgm:prSet custT="1"/>
      <dgm:spPr/>
      <dgm:t>
        <a:bodyPr/>
        <a:lstStyle/>
        <a:p>
          <a:pPr latinLnBrk="1"/>
          <a:r>
            <a:rPr lang="ko-KR" altLang="en-US" sz="900"/>
            <a:t>자본에 대한 가감항목</a:t>
          </a:r>
        </a:p>
      </dgm:t>
    </dgm:pt>
    <dgm:pt modelId="{BA05549C-C63A-4409-BE80-5D82B8BD6482}" type="parTrans" cxnId="{C4332F1B-0785-4E40-917F-F761541D3D7D}">
      <dgm:prSet/>
      <dgm:spPr/>
      <dgm:t>
        <a:bodyPr/>
        <a:lstStyle/>
        <a:p>
          <a:pPr latinLnBrk="1"/>
          <a:endParaRPr lang="ko-KR" altLang="en-US"/>
        </a:p>
      </dgm:t>
    </dgm:pt>
    <dgm:pt modelId="{34725C2C-D513-42E1-BB03-F2990E35A333}" type="sibTrans" cxnId="{C4332F1B-0785-4E40-917F-F761541D3D7D}">
      <dgm:prSet/>
      <dgm:spPr/>
      <dgm:t>
        <a:bodyPr/>
        <a:lstStyle/>
        <a:p>
          <a:pPr latinLnBrk="1"/>
          <a:endParaRPr lang="ko-KR" altLang="en-US"/>
        </a:p>
      </dgm:t>
    </dgm:pt>
    <dgm:pt modelId="{DA8C2ED1-926E-45FA-90AE-C4236190E1C3}">
      <dgm:prSet custT="1"/>
      <dgm:spPr/>
      <dgm:t>
        <a:bodyPr/>
        <a:lstStyle/>
        <a:p>
          <a:pPr latinLnBrk="1"/>
          <a:r>
            <a:rPr lang="ko-KR" sz="900"/>
            <a:t>주식할인발행차금</a:t>
          </a:r>
          <a:r>
            <a:rPr lang="en-US" sz="900"/>
            <a:t>, </a:t>
          </a:r>
          <a:r>
            <a:rPr lang="ko-KR" sz="900"/>
            <a:t>배당건설이자</a:t>
          </a:r>
          <a:r>
            <a:rPr lang="en-US" sz="900"/>
            <a:t>, </a:t>
          </a:r>
          <a:r>
            <a:rPr lang="ko-KR" sz="900"/>
            <a:t>자기주식</a:t>
          </a:r>
          <a:r>
            <a:rPr lang="en-US" sz="900"/>
            <a:t>, </a:t>
          </a:r>
          <a:r>
            <a:rPr lang="ko-KR" sz="900"/>
            <a:t>전환권대가</a:t>
          </a:r>
          <a:r>
            <a:rPr lang="en-US" sz="900"/>
            <a:t>, </a:t>
          </a:r>
          <a:r>
            <a:rPr lang="ko-KR" sz="900"/>
            <a:t>신주인수권대가</a:t>
          </a:r>
          <a:r>
            <a:rPr lang="en-US" sz="900"/>
            <a:t>, </a:t>
          </a:r>
          <a:r>
            <a:rPr lang="ko-KR" sz="900"/>
            <a:t>미교부주식배당금</a:t>
          </a:r>
          <a:r>
            <a:rPr lang="en-US" sz="900"/>
            <a:t>, </a:t>
          </a:r>
          <a:r>
            <a:rPr lang="ko-KR" sz="900"/>
            <a:t>투자주식평가이익</a:t>
          </a:r>
          <a:r>
            <a:rPr lang="en-US" sz="900"/>
            <a:t>, </a:t>
          </a:r>
          <a:r>
            <a:rPr lang="ko-KR" sz="900"/>
            <a:t>해외사업환산대 등</a:t>
          </a:r>
        </a:p>
      </dgm:t>
    </dgm:pt>
    <dgm:pt modelId="{EAD5CBD4-D495-4742-BCD6-BD7EB322C01E}" type="parTrans" cxnId="{52C26D55-0D84-4221-8673-38AD99D143DD}">
      <dgm:prSet/>
      <dgm:spPr/>
      <dgm:t>
        <a:bodyPr/>
        <a:lstStyle/>
        <a:p>
          <a:pPr latinLnBrk="1"/>
          <a:endParaRPr lang="ko-KR" altLang="en-US"/>
        </a:p>
      </dgm:t>
    </dgm:pt>
    <dgm:pt modelId="{7037051D-DE61-45FF-9FCE-CA8CB55C9AD8}" type="sibTrans" cxnId="{52C26D55-0D84-4221-8673-38AD99D143DD}">
      <dgm:prSet/>
      <dgm:spPr/>
      <dgm:t>
        <a:bodyPr/>
        <a:lstStyle/>
        <a:p>
          <a:pPr latinLnBrk="1"/>
          <a:endParaRPr lang="ko-KR" altLang="en-US"/>
        </a:p>
      </dgm:t>
    </dgm:pt>
    <dgm:pt modelId="{DF962B10-4A0D-4FEA-A3A5-2C6F29109D85}">
      <dgm:prSet custT="1"/>
      <dgm:spPr/>
      <dgm:t>
        <a:bodyPr/>
        <a:lstStyle/>
        <a:p>
          <a:pPr latinLnBrk="1"/>
          <a:r>
            <a:rPr lang="ko-KR" sz="900"/>
            <a:t>보통주자본금</a:t>
          </a:r>
          <a:r>
            <a:rPr lang="en-US" sz="900"/>
            <a:t>, </a:t>
          </a:r>
          <a:r>
            <a:rPr lang="ko-KR" sz="900"/>
            <a:t>우선주자본금 등으로 분류</a:t>
          </a:r>
        </a:p>
      </dgm:t>
    </dgm:pt>
    <dgm:pt modelId="{C96D2508-781E-4C4F-AE92-D687EA37EE4C}" type="parTrans" cxnId="{A8C5DD10-6F22-429C-8889-CCE0C47A1717}">
      <dgm:prSet/>
      <dgm:spPr/>
      <dgm:t>
        <a:bodyPr/>
        <a:lstStyle/>
        <a:p>
          <a:pPr latinLnBrk="1"/>
          <a:endParaRPr lang="ko-KR" altLang="en-US"/>
        </a:p>
      </dgm:t>
    </dgm:pt>
    <dgm:pt modelId="{4D731870-9C63-4A04-BFC9-5307BF5523DE}" type="sibTrans" cxnId="{A8C5DD10-6F22-429C-8889-CCE0C47A1717}">
      <dgm:prSet/>
      <dgm:spPr/>
      <dgm:t>
        <a:bodyPr/>
        <a:lstStyle/>
        <a:p>
          <a:pPr latinLnBrk="1"/>
          <a:endParaRPr lang="ko-KR" altLang="en-US"/>
        </a:p>
      </dgm:t>
    </dgm:pt>
    <dgm:pt modelId="{D0D83D54-42AF-4C29-9E7E-18BED8BA25AC}" type="pres">
      <dgm:prSet presAssocID="{CFEE77FE-5596-49CE-9861-8882D711D7F6}" presName="Name0" presStyleCnt="0">
        <dgm:presLayoutVars>
          <dgm:dir/>
          <dgm:animLvl val="lvl"/>
          <dgm:resizeHandles val="exact"/>
        </dgm:presLayoutVars>
      </dgm:prSet>
      <dgm:spPr/>
      <dgm:t>
        <a:bodyPr/>
        <a:lstStyle/>
        <a:p>
          <a:pPr latinLnBrk="1"/>
          <a:endParaRPr lang="ko-KR" altLang="en-US"/>
        </a:p>
      </dgm:t>
    </dgm:pt>
    <dgm:pt modelId="{7D095A3F-79C1-4112-93AA-49ED178D4CC5}" type="pres">
      <dgm:prSet presAssocID="{FC6E9FF4-04F3-49C0-A2C0-E907286C1B22}" presName="linNode" presStyleCnt="0"/>
      <dgm:spPr/>
    </dgm:pt>
    <dgm:pt modelId="{D1B6507A-11C3-4632-B2BE-6019526C1C4F}" type="pres">
      <dgm:prSet presAssocID="{FC6E9FF4-04F3-49C0-A2C0-E907286C1B22}" presName="parentText" presStyleLbl="node1" presStyleIdx="0" presStyleCnt="4" custScaleX="48017">
        <dgm:presLayoutVars>
          <dgm:chMax val="1"/>
          <dgm:bulletEnabled val="1"/>
        </dgm:presLayoutVars>
      </dgm:prSet>
      <dgm:spPr/>
      <dgm:t>
        <a:bodyPr/>
        <a:lstStyle/>
        <a:p>
          <a:pPr latinLnBrk="1"/>
          <a:endParaRPr lang="ko-KR" altLang="en-US"/>
        </a:p>
      </dgm:t>
    </dgm:pt>
    <dgm:pt modelId="{018621FD-9DE5-4755-9BC0-D85F115B0271}" type="pres">
      <dgm:prSet presAssocID="{FC6E9FF4-04F3-49C0-A2C0-E907286C1B22}" presName="descendantText" presStyleLbl="alignAccFollowNode1" presStyleIdx="0" presStyleCnt="4" custScaleX="122158" custScaleY="160879">
        <dgm:presLayoutVars>
          <dgm:bulletEnabled val="1"/>
        </dgm:presLayoutVars>
      </dgm:prSet>
      <dgm:spPr/>
      <dgm:t>
        <a:bodyPr/>
        <a:lstStyle/>
        <a:p>
          <a:pPr latinLnBrk="1"/>
          <a:endParaRPr lang="ko-KR" altLang="en-US"/>
        </a:p>
      </dgm:t>
    </dgm:pt>
    <dgm:pt modelId="{F53BA81A-3DDD-4B25-B944-2A50CE97528B}" type="pres">
      <dgm:prSet presAssocID="{7A0DE063-3233-40FD-9DB4-B4B671BF741E}" presName="sp" presStyleCnt="0"/>
      <dgm:spPr/>
    </dgm:pt>
    <dgm:pt modelId="{EEB56004-2054-4F28-9A21-A9B419CB26F1}" type="pres">
      <dgm:prSet presAssocID="{8E126E01-2475-4775-8485-C6A36B204577}" presName="linNode" presStyleCnt="0"/>
      <dgm:spPr/>
    </dgm:pt>
    <dgm:pt modelId="{B50184FC-9F88-4106-9658-A232C5054458}" type="pres">
      <dgm:prSet presAssocID="{8E126E01-2475-4775-8485-C6A36B204577}" presName="parentText" presStyleLbl="node1" presStyleIdx="1" presStyleCnt="4" custScaleX="48017">
        <dgm:presLayoutVars>
          <dgm:chMax val="1"/>
          <dgm:bulletEnabled val="1"/>
        </dgm:presLayoutVars>
      </dgm:prSet>
      <dgm:spPr/>
      <dgm:t>
        <a:bodyPr/>
        <a:lstStyle/>
        <a:p>
          <a:pPr latinLnBrk="1"/>
          <a:endParaRPr lang="ko-KR" altLang="en-US"/>
        </a:p>
      </dgm:t>
    </dgm:pt>
    <dgm:pt modelId="{E9D20971-0822-4A1F-9465-A82268A6A6A8}" type="pres">
      <dgm:prSet presAssocID="{8E126E01-2475-4775-8485-C6A36B204577}" presName="descendantText" presStyleLbl="alignAccFollowNode1" presStyleIdx="1" presStyleCnt="4" custScaleX="122158">
        <dgm:presLayoutVars>
          <dgm:bulletEnabled val="1"/>
        </dgm:presLayoutVars>
      </dgm:prSet>
      <dgm:spPr/>
      <dgm:t>
        <a:bodyPr/>
        <a:lstStyle/>
        <a:p>
          <a:pPr latinLnBrk="1"/>
          <a:endParaRPr lang="ko-KR" altLang="en-US"/>
        </a:p>
      </dgm:t>
    </dgm:pt>
    <dgm:pt modelId="{CADEE4C1-E3FF-4A50-B8AA-D100D33157BA}" type="pres">
      <dgm:prSet presAssocID="{D1A0FA14-EAA9-4294-9AA1-66803C04721C}" presName="sp" presStyleCnt="0"/>
      <dgm:spPr/>
    </dgm:pt>
    <dgm:pt modelId="{70F4EEA0-7252-4801-8CA7-04C3C14338F7}" type="pres">
      <dgm:prSet presAssocID="{C3B1F011-A532-4768-AF13-5931108B71E8}" presName="linNode" presStyleCnt="0"/>
      <dgm:spPr/>
    </dgm:pt>
    <dgm:pt modelId="{FD96E7CD-C845-405B-8607-AD761436603D}" type="pres">
      <dgm:prSet presAssocID="{C3B1F011-A532-4768-AF13-5931108B71E8}" presName="parentText" presStyleLbl="node1" presStyleIdx="2" presStyleCnt="4" custScaleX="48017">
        <dgm:presLayoutVars>
          <dgm:chMax val="1"/>
          <dgm:bulletEnabled val="1"/>
        </dgm:presLayoutVars>
      </dgm:prSet>
      <dgm:spPr/>
      <dgm:t>
        <a:bodyPr/>
        <a:lstStyle/>
        <a:p>
          <a:pPr latinLnBrk="1"/>
          <a:endParaRPr lang="ko-KR" altLang="en-US"/>
        </a:p>
      </dgm:t>
    </dgm:pt>
    <dgm:pt modelId="{0CE879AE-5EF4-416E-9EA4-1B40815EE65D}" type="pres">
      <dgm:prSet presAssocID="{C3B1F011-A532-4768-AF13-5931108B71E8}" presName="descendantText" presStyleLbl="alignAccFollowNode1" presStyleIdx="2" presStyleCnt="4" custScaleX="122158" custScaleY="118613">
        <dgm:presLayoutVars>
          <dgm:bulletEnabled val="1"/>
        </dgm:presLayoutVars>
      </dgm:prSet>
      <dgm:spPr/>
      <dgm:t>
        <a:bodyPr/>
        <a:lstStyle/>
        <a:p>
          <a:pPr latinLnBrk="1"/>
          <a:endParaRPr lang="ko-KR" altLang="en-US"/>
        </a:p>
      </dgm:t>
    </dgm:pt>
    <dgm:pt modelId="{E57685F8-F06C-4B1A-9428-DC3933F90184}" type="pres">
      <dgm:prSet presAssocID="{BEEE4A66-1B47-4475-9F19-0777804DFAE5}" presName="sp" presStyleCnt="0"/>
      <dgm:spPr/>
    </dgm:pt>
    <dgm:pt modelId="{048AC30F-AF7C-4E05-96A6-D0E589778A06}" type="pres">
      <dgm:prSet presAssocID="{D5EFB617-6510-4726-9D56-EDBD5C244AFD}" presName="linNode" presStyleCnt="0"/>
      <dgm:spPr/>
    </dgm:pt>
    <dgm:pt modelId="{997ABE5C-E218-4A0E-8F01-FE8306B6D7D8}" type="pres">
      <dgm:prSet presAssocID="{D5EFB617-6510-4726-9D56-EDBD5C244AFD}" presName="parentText" presStyleLbl="node1" presStyleIdx="3" presStyleCnt="4" custScaleX="48017">
        <dgm:presLayoutVars>
          <dgm:chMax val="1"/>
          <dgm:bulletEnabled val="1"/>
        </dgm:presLayoutVars>
      </dgm:prSet>
      <dgm:spPr/>
      <dgm:t>
        <a:bodyPr/>
        <a:lstStyle/>
        <a:p>
          <a:pPr latinLnBrk="1"/>
          <a:endParaRPr lang="ko-KR" altLang="en-US"/>
        </a:p>
      </dgm:t>
    </dgm:pt>
    <dgm:pt modelId="{BB4130AE-F2D0-4BC7-B205-B486941CC8F3}" type="pres">
      <dgm:prSet presAssocID="{D5EFB617-6510-4726-9D56-EDBD5C244AFD}" presName="descendantText" presStyleLbl="alignAccFollowNode1" presStyleIdx="3" presStyleCnt="4" custScaleX="122158" custScaleY="97193">
        <dgm:presLayoutVars>
          <dgm:bulletEnabled val="1"/>
        </dgm:presLayoutVars>
      </dgm:prSet>
      <dgm:spPr/>
      <dgm:t>
        <a:bodyPr/>
        <a:lstStyle/>
        <a:p>
          <a:pPr latinLnBrk="1"/>
          <a:endParaRPr lang="ko-KR" altLang="en-US"/>
        </a:p>
      </dgm:t>
    </dgm:pt>
  </dgm:ptLst>
  <dgm:cxnLst>
    <dgm:cxn modelId="{C4332F1B-0785-4E40-917F-F761541D3D7D}" srcId="{D5EFB617-6510-4726-9D56-EDBD5C244AFD}" destId="{0CEEB413-E225-41F1-A0ED-B83DE8A11204}" srcOrd="0" destOrd="0" parTransId="{BA05549C-C63A-4409-BE80-5D82B8BD6482}" sibTransId="{34725C2C-D513-42E1-BB03-F2990E35A333}"/>
    <dgm:cxn modelId="{A20D38B6-E00B-4112-883B-2118E0A62929}" type="presOf" srcId="{DF962B10-4A0D-4FEA-A3A5-2C6F29109D85}" destId="{018621FD-9DE5-4755-9BC0-D85F115B0271}" srcOrd="0" destOrd="1" presId="urn:microsoft.com/office/officeart/2005/8/layout/vList5"/>
    <dgm:cxn modelId="{0F1D8062-18F3-4BC7-9242-3C2B915B5F2F}" srcId="{CFEE77FE-5596-49CE-9861-8882D711D7F6}" destId="{8E126E01-2475-4775-8485-C6A36B204577}" srcOrd="1" destOrd="0" parTransId="{27A99D04-BEEB-4468-93E4-340C1144C5A5}" sibTransId="{D1A0FA14-EAA9-4294-9AA1-66803C04721C}"/>
    <dgm:cxn modelId="{3B62105D-DC2C-4DDE-9610-A915A93F9057}" type="presOf" srcId="{49087C8E-F92D-4DC2-9387-13C879DBDA2C}" destId="{0CE879AE-5EF4-416E-9EA4-1B40815EE65D}" srcOrd="0" destOrd="1" presId="urn:microsoft.com/office/officeart/2005/8/layout/vList5"/>
    <dgm:cxn modelId="{FBC4AA20-1531-4196-ACB0-376184A78E5C}" srcId="{CFEE77FE-5596-49CE-9861-8882D711D7F6}" destId="{C3B1F011-A532-4768-AF13-5931108B71E8}" srcOrd="2" destOrd="0" parTransId="{73FE6CB3-2593-49FB-8ABE-D34E44C0E19C}" sibTransId="{BEEE4A66-1B47-4475-9F19-0777804DFAE5}"/>
    <dgm:cxn modelId="{41F8EB1C-1FF8-44F7-B930-2A8FCEEF3A5A}" type="presOf" srcId="{313079B7-4D5A-48F6-BB47-EF75BBECFE47}" destId="{018621FD-9DE5-4755-9BC0-D85F115B0271}" srcOrd="0" destOrd="0" presId="urn:microsoft.com/office/officeart/2005/8/layout/vList5"/>
    <dgm:cxn modelId="{702C42AA-43EC-4419-A196-2DC8042F6315}" type="presOf" srcId="{CFE69571-9877-452D-9197-86503DD5871D}" destId="{E9D20971-0822-4A1F-9465-A82268A6A6A8}" srcOrd="0" destOrd="1" presId="urn:microsoft.com/office/officeart/2005/8/layout/vList5"/>
    <dgm:cxn modelId="{A8C5DD10-6F22-429C-8889-CCE0C47A1717}" srcId="{FC6E9FF4-04F3-49C0-A2C0-E907286C1B22}" destId="{DF962B10-4A0D-4FEA-A3A5-2C6F29109D85}" srcOrd="1" destOrd="0" parTransId="{C96D2508-781E-4C4F-AE92-D687EA37EE4C}" sibTransId="{4D731870-9C63-4A04-BFC9-5307BF5523DE}"/>
    <dgm:cxn modelId="{F0E8A2B2-AF5A-45B7-81E6-B08C89E6A41C}" srcId="{CFEE77FE-5596-49CE-9861-8882D711D7F6}" destId="{D5EFB617-6510-4726-9D56-EDBD5C244AFD}" srcOrd="3" destOrd="0" parTransId="{69C1F09E-1334-4197-A5E8-EDE6A39EB131}" sibTransId="{48CF080F-63C7-469D-9A69-A80BF65E2127}"/>
    <dgm:cxn modelId="{3A15A10B-1FFE-4361-8F23-0E3619DF7B0E}" srcId="{C3B1F011-A532-4768-AF13-5931108B71E8}" destId="{49087C8E-F92D-4DC2-9387-13C879DBDA2C}" srcOrd="1" destOrd="0" parTransId="{6D311CBE-9935-42CB-A1D5-1DD5B453BD06}" sibTransId="{FA489FD4-D416-4731-BFAD-8138006225BE}"/>
    <dgm:cxn modelId="{1E81D12C-8914-4034-B88A-42FF1FD3B648}" srcId="{C3B1F011-A532-4768-AF13-5931108B71E8}" destId="{CA1757A3-4527-42DC-98BC-975B9E4FCD3F}" srcOrd="0" destOrd="0" parTransId="{BB01EA26-CF2A-452F-B76C-998038903730}" sibTransId="{D23FE765-4305-431B-A767-E1DA93E47FAE}"/>
    <dgm:cxn modelId="{49C044D0-5580-4878-BFEC-9538256D1D75}" srcId="{8E126E01-2475-4775-8485-C6A36B204577}" destId="{424CB2F1-0A90-46B1-BE5E-F1592C5309D9}" srcOrd="0" destOrd="0" parTransId="{2EBDAFC8-C688-468A-919E-D77846EE3F2E}" sibTransId="{3E497B73-7DBB-4FF3-B7DA-D7A475AE972B}"/>
    <dgm:cxn modelId="{F109778E-9C35-4C4A-995D-214ECE27B7CA}" type="presOf" srcId="{A87E4D43-F931-4E39-921D-C1D76623A2C4}" destId="{018621FD-9DE5-4755-9BC0-D85F115B0271}" srcOrd="0" destOrd="2" presId="urn:microsoft.com/office/officeart/2005/8/layout/vList5"/>
    <dgm:cxn modelId="{FF0E10D1-4872-4A3A-8D31-C0C0A60AB6A9}" type="presOf" srcId="{CFEE77FE-5596-49CE-9861-8882D711D7F6}" destId="{D0D83D54-42AF-4C29-9E7E-18BED8BA25AC}" srcOrd="0" destOrd="0" presId="urn:microsoft.com/office/officeart/2005/8/layout/vList5"/>
    <dgm:cxn modelId="{3AD54785-32A4-4267-ACF8-7666F3AA0612}" type="presOf" srcId="{8E126E01-2475-4775-8485-C6A36B204577}" destId="{B50184FC-9F88-4106-9658-A232C5054458}" srcOrd="0" destOrd="0" presId="urn:microsoft.com/office/officeart/2005/8/layout/vList5"/>
    <dgm:cxn modelId="{FE30C636-26B2-4F5C-90D0-5672D5F8DAAD}" type="presOf" srcId="{424CB2F1-0A90-46B1-BE5E-F1592C5309D9}" destId="{E9D20971-0822-4A1F-9465-A82268A6A6A8}" srcOrd="0" destOrd="0" presId="urn:microsoft.com/office/officeart/2005/8/layout/vList5"/>
    <dgm:cxn modelId="{991606A3-8E9C-454D-9841-806DAB90D544}" type="presOf" srcId="{C3B1F011-A532-4768-AF13-5931108B71E8}" destId="{FD96E7CD-C845-405B-8607-AD761436603D}" srcOrd="0" destOrd="0" presId="urn:microsoft.com/office/officeart/2005/8/layout/vList5"/>
    <dgm:cxn modelId="{52C26D55-0D84-4221-8673-38AD99D143DD}" srcId="{D5EFB617-6510-4726-9D56-EDBD5C244AFD}" destId="{DA8C2ED1-926E-45FA-90AE-C4236190E1C3}" srcOrd="1" destOrd="0" parTransId="{EAD5CBD4-D495-4742-BCD6-BD7EB322C01E}" sibTransId="{7037051D-DE61-45FF-9FCE-CA8CB55C9AD8}"/>
    <dgm:cxn modelId="{4670B83C-1537-47C3-B581-FBB5B9A4DAB3}" srcId="{8E126E01-2475-4775-8485-C6A36B204577}" destId="{CFE69571-9877-452D-9197-86503DD5871D}" srcOrd="1" destOrd="0" parTransId="{AAE3084B-5E36-413C-ABA7-7C2E0B8697E7}" sibTransId="{7BFB9E42-AA88-44D4-8C4A-BB3DCED79B49}"/>
    <dgm:cxn modelId="{CF923792-07E0-464D-AFCF-0B6A64B20FDF}" srcId="{CFEE77FE-5596-49CE-9861-8882D711D7F6}" destId="{FC6E9FF4-04F3-49C0-A2C0-E907286C1B22}" srcOrd="0" destOrd="0" parTransId="{3CB49938-DEF1-4727-8744-ACB4AD1F244A}" sibTransId="{7A0DE063-3233-40FD-9DB4-B4B671BF741E}"/>
    <dgm:cxn modelId="{E476B5CA-612A-41E7-8B15-62FE8D2502A1}" type="presOf" srcId="{CA1757A3-4527-42DC-98BC-975B9E4FCD3F}" destId="{0CE879AE-5EF4-416E-9EA4-1B40815EE65D}" srcOrd="0" destOrd="0" presId="urn:microsoft.com/office/officeart/2005/8/layout/vList5"/>
    <dgm:cxn modelId="{F353487D-95CB-45A6-B7F0-89AB5CAA8501}" type="presOf" srcId="{FC6E9FF4-04F3-49C0-A2C0-E907286C1B22}" destId="{D1B6507A-11C3-4632-B2BE-6019526C1C4F}" srcOrd="0" destOrd="0" presId="urn:microsoft.com/office/officeart/2005/8/layout/vList5"/>
    <dgm:cxn modelId="{E0411760-32D6-48A9-B65F-2505278A270B}" srcId="{FC6E9FF4-04F3-49C0-A2C0-E907286C1B22}" destId="{313079B7-4D5A-48F6-BB47-EF75BBECFE47}" srcOrd="0" destOrd="0" parTransId="{4E77420B-EF45-4B39-B124-53D0D64EE755}" sibTransId="{D60E3565-07D2-4F0D-B580-1A18A3383CF1}"/>
    <dgm:cxn modelId="{6D8642B7-C256-439F-92F9-906071438DCB}" srcId="{FC6E9FF4-04F3-49C0-A2C0-E907286C1B22}" destId="{A87E4D43-F931-4E39-921D-C1D76623A2C4}" srcOrd="2" destOrd="0" parTransId="{0898CCDD-DA76-4530-8C46-5877CA99BBD2}" sibTransId="{0931A99D-8FF7-49C2-909C-9622BB060310}"/>
    <dgm:cxn modelId="{AD033D5B-2FB7-49E4-8A2B-13458819A31F}" type="presOf" srcId="{DA8C2ED1-926E-45FA-90AE-C4236190E1C3}" destId="{BB4130AE-F2D0-4BC7-B205-B486941CC8F3}" srcOrd="0" destOrd="1" presId="urn:microsoft.com/office/officeart/2005/8/layout/vList5"/>
    <dgm:cxn modelId="{C2A9C699-6BC4-48B1-AB29-23E72785E21A}" type="presOf" srcId="{D5EFB617-6510-4726-9D56-EDBD5C244AFD}" destId="{997ABE5C-E218-4A0E-8F01-FE8306B6D7D8}" srcOrd="0" destOrd="0" presId="urn:microsoft.com/office/officeart/2005/8/layout/vList5"/>
    <dgm:cxn modelId="{55245347-7975-486A-99F1-BDFEE684F4C8}" type="presOf" srcId="{0CEEB413-E225-41F1-A0ED-B83DE8A11204}" destId="{BB4130AE-F2D0-4BC7-B205-B486941CC8F3}" srcOrd="0" destOrd="0" presId="urn:microsoft.com/office/officeart/2005/8/layout/vList5"/>
    <dgm:cxn modelId="{94039AC5-7124-46AC-AE28-9552A01DCDE6}" type="presParOf" srcId="{D0D83D54-42AF-4C29-9E7E-18BED8BA25AC}" destId="{7D095A3F-79C1-4112-93AA-49ED178D4CC5}" srcOrd="0" destOrd="0" presId="urn:microsoft.com/office/officeart/2005/8/layout/vList5"/>
    <dgm:cxn modelId="{B3432EF6-0BCB-4D1A-AB11-8D09507E0EB6}" type="presParOf" srcId="{7D095A3F-79C1-4112-93AA-49ED178D4CC5}" destId="{D1B6507A-11C3-4632-B2BE-6019526C1C4F}" srcOrd="0" destOrd="0" presId="urn:microsoft.com/office/officeart/2005/8/layout/vList5"/>
    <dgm:cxn modelId="{A96B3BF7-5BB3-4D49-9FDE-A1E916DE4D20}" type="presParOf" srcId="{7D095A3F-79C1-4112-93AA-49ED178D4CC5}" destId="{018621FD-9DE5-4755-9BC0-D85F115B0271}" srcOrd="1" destOrd="0" presId="urn:microsoft.com/office/officeart/2005/8/layout/vList5"/>
    <dgm:cxn modelId="{E01AEC82-8CD2-440A-B3B7-553B1339B587}" type="presParOf" srcId="{D0D83D54-42AF-4C29-9E7E-18BED8BA25AC}" destId="{F53BA81A-3DDD-4B25-B944-2A50CE97528B}" srcOrd="1" destOrd="0" presId="urn:microsoft.com/office/officeart/2005/8/layout/vList5"/>
    <dgm:cxn modelId="{0507FBF6-D600-4B0F-AAD7-89BF63336FAD}" type="presParOf" srcId="{D0D83D54-42AF-4C29-9E7E-18BED8BA25AC}" destId="{EEB56004-2054-4F28-9A21-A9B419CB26F1}" srcOrd="2" destOrd="0" presId="urn:microsoft.com/office/officeart/2005/8/layout/vList5"/>
    <dgm:cxn modelId="{5E84110C-66DA-4B61-95F3-2D8026CE22B2}" type="presParOf" srcId="{EEB56004-2054-4F28-9A21-A9B419CB26F1}" destId="{B50184FC-9F88-4106-9658-A232C5054458}" srcOrd="0" destOrd="0" presId="urn:microsoft.com/office/officeart/2005/8/layout/vList5"/>
    <dgm:cxn modelId="{8E523357-7FE2-4949-BFCD-E26047872D66}" type="presParOf" srcId="{EEB56004-2054-4F28-9A21-A9B419CB26F1}" destId="{E9D20971-0822-4A1F-9465-A82268A6A6A8}" srcOrd="1" destOrd="0" presId="urn:microsoft.com/office/officeart/2005/8/layout/vList5"/>
    <dgm:cxn modelId="{D9767607-B372-4499-9CAE-EFB4A64BB57E}" type="presParOf" srcId="{D0D83D54-42AF-4C29-9E7E-18BED8BA25AC}" destId="{CADEE4C1-E3FF-4A50-B8AA-D100D33157BA}" srcOrd="3" destOrd="0" presId="urn:microsoft.com/office/officeart/2005/8/layout/vList5"/>
    <dgm:cxn modelId="{832DBE23-F457-4EA0-AD04-C68CF42865F9}" type="presParOf" srcId="{D0D83D54-42AF-4C29-9E7E-18BED8BA25AC}" destId="{70F4EEA0-7252-4801-8CA7-04C3C14338F7}" srcOrd="4" destOrd="0" presId="urn:microsoft.com/office/officeart/2005/8/layout/vList5"/>
    <dgm:cxn modelId="{D419B747-5D67-4435-81FE-DD01FB36607B}" type="presParOf" srcId="{70F4EEA0-7252-4801-8CA7-04C3C14338F7}" destId="{FD96E7CD-C845-405B-8607-AD761436603D}" srcOrd="0" destOrd="0" presId="urn:microsoft.com/office/officeart/2005/8/layout/vList5"/>
    <dgm:cxn modelId="{E50CA5AB-3FB1-4A2A-9097-66FB9B1EA2A4}" type="presParOf" srcId="{70F4EEA0-7252-4801-8CA7-04C3C14338F7}" destId="{0CE879AE-5EF4-416E-9EA4-1B40815EE65D}" srcOrd="1" destOrd="0" presId="urn:microsoft.com/office/officeart/2005/8/layout/vList5"/>
    <dgm:cxn modelId="{144B61B9-FED4-48FC-A8CF-B787CF0140B1}" type="presParOf" srcId="{D0D83D54-42AF-4C29-9E7E-18BED8BA25AC}" destId="{E57685F8-F06C-4B1A-9428-DC3933F90184}" srcOrd="5" destOrd="0" presId="urn:microsoft.com/office/officeart/2005/8/layout/vList5"/>
    <dgm:cxn modelId="{50F155FE-BFEB-452B-9B07-8BF7D6079571}" type="presParOf" srcId="{D0D83D54-42AF-4C29-9E7E-18BED8BA25AC}" destId="{048AC30F-AF7C-4E05-96A6-D0E589778A06}" srcOrd="6" destOrd="0" presId="urn:microsoft.com/office/officeart/2005/8/layout/vList5"/>
    <dgm:cxn modelId="{967A7672-EEA2-4D65-8D3D-78321AE413D8}" type="presParOf" srcId="{048AC30F-AF7C-4E05-96A6-D0E589778A06}" destId="{997ABE5C-E218-4A0E-8F01-FE8306B6D7D8}" srcOrd="0" destOrd="0" presId="urn:microsoft.com/office/officeart/2005/8/layout/vList5"/>
    <dgm:cxn modelId="{A925EA5D-28CA-4FD7-9084-B74C6CBBFAD1}" type="presParOf" srcId="{048AC30F-AF7C-4E05-96A6-D0E589778A06}" destId="{BB4130AE-F2D0-4BC7-B205-B486941CC8F3}"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행복한 na</cp:lastModifiedBy>
  <cp:revision>2</cp:revision>
  <dcterms:created xsi:type="dcterms:W3CDTF">2010-07-09T16:04:00Z</dcterms:created>
  <dcterms:modified xsi:type="dcterms:W3CDTF">2010-07-09T16:04:00Z</dcterms:modified>
</cp:coreProperties>
</file>