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ECCC Membership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3.1 Who may be and remain a member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(Part d) </w:t>
      </w:r>
      <w:r w:rsidDel="00000000" w:rsidR="00000000" w:rsidRPr="00000000">
        <w:rPr>
          <w:rtl w:val="0"/>
        </w:rPr>
        <w:t xml:space="preserve">Active members are members who can vote on an AGM meeting. An Active member is a member who pays their annual members fee and at least attends one members’ meeting within a year. (Amended on October 26, 2024, AGM)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3.2 Membership fees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(Part b)</w:t>
      </w:r>
      <w:r w:rsidDel="00000000" w:rsidR="00000000" w:rsidRPr="00000000">
        <w:rPr>
          <w:rtl w:val="0"/>
        </w:rPr>
        <w:t xml:space="preserve"> General membership fees shall be received from January 1 to December 31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(Part d</w:t>
      </w:r>
      <w:r w:rsidDel="00000000" w:rsidR="00000000" w:rsidRPr="00000000">
        <w:rPr>
          <w:rtl w:val="0"/>
        </w:rPr>
        <w:t xml:space="preserve">) ECCC has a maximum membership fee of $120.00 per year. The board may exempt or allow less payment for students or the unemployed. (Amended on October 26, 2024, AGM)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AS4Jgg9IDDHyvN13D+zUdjiLNg==">CgMxLjA4AHIhMWxQS1pHLWFzRDh4THpXTXFTLTRINkVGdjdTNGp5Z0RV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