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011F" w:rsidRDefault="003C37AA">
      <w:pPr>
        <w:pStyle w:val="Ttulo3"/>
      </w:pPr>
      <w:bookmarkStart w:id="0" w:name="_w6ozwoujf5ka" w:colFirst="0" w:colLast="0"/>
      <w:bookmarkEnd w:id="0"/>
      <w:r>
        <w:t>ANÁLISIS DE IMPACTO: RIESGOS ÉTICOS, REGULATORIOS Y SOCIALES DEL RASTREO AFECTIVO MASIVO Y RECONOCIMIENTO EMOCIONAL MEDIANTE IA</w:t>
      </w:r>
    </w:p>
    <w:p w14:paraId="00000002" w14:textId="77777777" w:rsidR="0037011F" w:rsidRDefault="003C37AA">
      <w:pPr>
        <w:pStyle w:val="Ttulo5"/>
      </w:pPr>
      <w:bookmarkStart w:id="1" w:name="_9qebjxeast81" w:colFirst="0" w:colLast="0"/>
      <w:bookmarkEnd w:id="1"/>
      <w:r>
        <w:t>1. Fundamentos Neurocognitivos de la Vulnerabilidad Emocional Humana</w:t>
      </w:r>
    </w:p>
    <w:p w14:paraId="00000003" w14:textId="77777777" w:rsidR="0037011F" w:rsidRDefault="003C37AA">
      <w:r>
        <w:t>La arquitectura cognitiva del ser humano constituye el sustrato primario sobre el cual operan las tecnologías contemporáneas de modificación conductual y rastreo afectivo. Comprender la organización de los procesos neuronales y la susceptibilidad de la psique resulta una premisa estratégica e ineludible para evaluar el impacto de estas herramientas en la toma de decisiones autónoma. Dado que los afectos estructuran el fuero íntimo, determinan las filiaciones interpersonales y dirigen la acción individual, l</w:t>
      </w:r>
      <w:r>
        <w:t>a descodificación e instrumentalización algorítmica de los estados emocionales permite a actores corporativos y gubernamentales intervenir directamente en la soberanía cognitiva del sujeto.</w:t>
      </w:r>
    </w:p>
    <w:p w14:paraId="00000004" w14:textId="77777777" w:rsidR="0037011F" w:rsidRDefault="003C37AA">
      <w:pPr>
        <w:pStyle w:val="Ttulo6"/>
      </w:pPr>
      <w:bookmarkStart w:id="2" w:name="_k5g9tvesmsm8" w:colFirst="0" w:colLast="0"/>
      <w:bookmarkEnd w:id="2"/>
      <w:r>
        <w:t xml:space="preserve">1.1 Dualidad Procesal del Cerebro y Distorsión </w:t>
      </w:r>
      <w:proofErr w:type="spellStart"/>
      <w:r>
        <w:t>Decisionual</w:t>
      </w:r>
      <w:proofErr w:type="spellEnd"/>
    </w:p>
    <w:p w14:paraId="00000005" w14:textId="77777777" w:rsidR="0037011F" w:rsidRDefault="003C37AA">
      <w:r>
        <w:t xml:space="preserve">La neurociencia cognitiva establece que el cerebro opera bajo una dualidad procesal: por un lado, un centro de cálculo racional de alta exigencia energética que procesa datos de manera analítica; por otro, un sistema impulsivo y emocional enfocado en la supervivencia y la respuesta espontánea. Cuando el centro analítico es sometido a un escenario de sobrecarga o restricción contextual drástica, la capacidad de cómputo se satura, desencadenando un estado de "pánico cognitivo" que interrumpe el pensamiento </w:t>
      </w:r>
      <w:proofErr w:type="spellStart"/>
      <w:proofErr w:type="gramStart"/>
      <w:r>
        <w:t>deliberativo.Esta</w:t>
      </w:r>
      <w:proofErr w:type="spellEnd"/>
      <w:proofErr w:type="gramEnd"/>
      <w:r>
        <w:t xml:space="preserve"> vulnerabilidad funcional quedó demostrada empíricamente en las pruebas de ilusión cognitiva del mentalista Fabien H. Al solicitar a los participantes que piensen libremente en un número de tres cifras y, de manera intempestiva, introducir la restricción analítica de que las tres cifras deben ser impares e iguales, el centro racional del sujeto se ve desbordado por la premura. Al no poder procesar la instrucción compleja en el lapso exigido, el cerebro entra en pánico y se aferra de forma r</w:t>
      </w:r>
      <w:r>
        <w:t xml:space="preserve">efleja al estímulo auditivo más inmediato y reciente: el número "tres" pronunciado por el facilitador en la consigna previa. Este cortocircuito inducido conduce a la inmensa mayoría de los sujetos a elegir de manera predecible y automatizada la combinación "333". Este fenómeno evidencia cómo la presión contextual debilita la capacidad crítica, forzando respuestas impulsivas e </w:t>
      </w:r>
      <w:proofErr w:type="spellStart"/>
      <w:r>
        <w:t>instrumentalizables</w:t>
      </w:r>
      <w:proofErr w:type="spellEnd"/>
      <w:r>
        <w:t>.</w:t>
      </w:r>
    </w:p>
    <w:p w14:paraId="00000006" w14:textId="77777777" w:rsidR="0037011F" w:rsidRDefault="003C37AA">
      <w:pPr>
        <w:pStyle w:val="Ttulo6"/>
      </w:pPr>
      <w:bookmarkStart w:id="3" w:name="_yb9vn1bbbsmq" w:colFirst="0" w:colLast="0"/>
      <w:bookmarkEnd w:id="3"/>
      <w:r>
        <w:t>1.2 Indefensión Aprendida y Parálisis de la Capacidad Cognitiva</w:t>
      </w:r>
    </w:p>
    <w:p w14:paraId="00000007" w14:textId="77777777" w:rsidR="0037011F" w:rsidRDefault="003C37AA">
      <w:r>
        <w:t xml:space="preserve">La fragilidad psíquica no solo se manifiesta ante la saturación inmediata, sino también mediante la exposición deliberada a entornos de frustración sistemática. El experimento psicopedagógico conducido por el psicólogo </w:t>
      </w:r>
      <w:proofErr w:type="spellStart"/>
      <w:r>
        <w:t>Benjamin</w:t>
      </w:r>
      <w:proofErr w:type="spellEnd"/>
      <w:r>
        <w:t xml:space="preserve"> Linski documenta con precisión la velocidad con la que la capacidad ejecutiva puede ser anulada. En dicha investigación, los participantes fueron divididos en dos grupos para resolver rompecabezas en tres rondas consecutivas de cinco minutos. Sin saberlo los sujetos, el experimento estaba manipulado: el primer grupo recibió rompecabezas sencillos, mientras que el segundo enfrentó piezas de imposible </w:t>
      </w:r>
      <w:proofErr w:type="spellStart"/>
      <w:proofErr w:type="gramStart"/>
      <w:r>
        <w:t>encaje.En</w:t>
      </w:r>
      <w:proofErr w:type="spellEnd"/>
      <w:proofErr w:type="gramEnd"/>
      <w:r>
        <w:t xml:space="preserve"> las rondas 1 y 2, los integrantes del grupo expuesto al fallo inevitable experimentaron ni</w:t>
      </w:r>
      <w:r>
        <w:t xml:space="preserve">veles crecientes de estrés y desconfianza personal. La prueba decisiva ocurrió en </w:t>
      </w:r>
      <w:proofErr w:type="gramStart"/>
      <w:r>
        <w:t xml:space="preserve">la  </w:t>
      </w:r>
      <w:r>
        <w:rPr>
          <w:b/>
          <w:bCs/>
        </w:rPr>
        <w:t>Ronda</w:t>
      </w:r>
      <w:proofErr w:type="gramEnd"/>
      <w:r>
        <w:rPr>
          <w:b/>
          <w:bCs/>
        </w:rPr>
        <w:t xml:space="preserve"> </w:t>
      </w:r>
      <w:proofErr w:type="gramStart"/>
      <w:r>
        <w:rPr>
          <w:b/>
          <w:bCs/>
        </w:rPr>
        <w:t>3</w:t>
      </w:r>
      <w:r>
        <w:t xml:space="preserve"> ,</w:t>
      </w:r>
      <w:proofErr w:type="gramEnd"/>
      <w:r>
        <w:t xml:space="preserve"> en la cual se entregó </w:t>
      </w:r>
      <w:proofErr w:type="gramStart"/>
      <w:r>
        <w:t xml:space="preserve">a  </w:t>
      </w:r>
      <w:r>
        <w:rPr>
          <w:b/>
          <w:bCs/>
        </w:rPr>
        <w:t>ambos</w:t>
      </w:r>
      <w:proofErr w:type="gramEnd"/>
      <w:r>
        <w:rPr>
          <w:b/>
          <w:bCs/>
        </w:rPr>
        <w:t xml:space="preserve"> grupos el mismo rompecabezas, sumamente sencillo y de fácil </w:t>
      </w:r>
      <w:proofErr w:type="gramStart"/>
      <w:r>
        <w:rPr>
          <w:b/>
          <w:bCs/>
        </w:rPr>
        <w:t>solución</w:t>
      </w:r>
      <w:r>
        <w:t xml:space="preserve"> .</w:t>
      </w:r>
      <w:proofErr w:type="gramEnd"/>
      <w:r>
        <w:t xml:space="preserve"> A pesar de tener frente a sí una tarea elemental, </w:t>
      </w:r>
      <w:r>
        <w:lastRenderedPageBreak/>
        <w:t xml:space="preserve">los sujetos expuestos a las frustraciones previas mostraron una parálisis ejecutiva persistente: el sentimiento de fracaso previamente condicionado bloqueó su juicio analítico, siendo incapaces de resolver la prueba. En contraste, el grupo de control resolvió la tarea de forma fluida y </w:t>
      </w:r>
      <w:proofErr w:type="gramStart"/>
      <w:r>
        <w:t>acelerada.|</w:t>
      </w:r>
      <w:proofErr w:type="gramEnd"/>
      <w:r>
        <w:t xml:space="preserve"> Mecanismo Psicológico / Emoción Desencadenada | Impacto Funcional y Cognitivo || ------ | ------ || </w:t>
      </w:r>
      <w:r>
        <w:rPr>
          <w:b/>
          <w:bCs/>
        </w:rPr>
        <w:t>Frustración e Impotencia Inducida</w:t>
      </w:r>
      <w:r>
        <w:t xml:space="preserve"> | Interrupción inmediata del razonamiento lógico; incapacidad de ejecutar operaciones cognitivas o cuantitativas básicas. || </w:t>
      </w:r>
      <w:r>
        <w:rPr>
          <w:b/>
          <w:bCs/>
        </w:rPr>
        <w:t>Vergüenza y Autoevaluación Destructiva</w:t>
      </w:r>
      <w:r>
        <w:t xml:space="preserve"> | Generación de ciclos de estrés autorreferencial; el sujeto atribuye la imposibilidad estructural de la tarea a una incompetencia intrínseca. || </w:t>
      </w:r>
      <w:r>
        <w:rPr>
          <w:b/>
          <w:bCs/>
        </w:rPr>
        <w:t>Indefensión Aprendida ("Depresión Express")</w:t>
      </w:r>
      <w:r>
        <w:t xml:space="preserve"> | Parálisis operativa activa. Tras un acondicionamiento al fracaso (Rondas 1 y 2), el sujeto bloquea su capacidad de resolución incluso ante tareas simples (Ronda 3). || </w:t>
      </w:r>
      <w:r>
        <w:rPr>
          <w:b/>
          <w:bCs/>
        </w:rPr>
        <w:t>Refuerzo Positivo y Confianza Contextual</w:t>
      </w:r>
      <w:proofErr w:type="gramStart"/>
      <w:r>
        <w:t xml:space="preserve">   </w:t>
      </w:r>
      <w:r>
        <w:rPr>
          <w:i/>
          <w:iCs/>
        </w:rPr>
        <w:t>(</w:t>
      </w:r>
      <w:proofErr w:type="gramEnd"/>
      <w:r>
        <w:rPr>
          <w:i/>
          <w:iCs/>
        </w:rPr>
        <w:t>Grupo de control/exitoso)</w:t>
      </w:r>
      <w:r>
        <w:t xml:space="preserve"> | Optimización de la memoria de trabajo, incremento sustancial de la concentración y elevación de la resiliencia cognitiva frente a desafíos complejos. |</w:t>
      </w:r>
    </w:p>
    <w:p w14:paraId="00000008" w14:textId="77777777" w:rsidR="0037011F" w:rsidRDefault="003C37AA">
      <w:r>
        <w:t>Este experimento demuestra que la indefensión aprendida se instala con extrema rapidez en la psique humana. Cuando un entorno hostil o manipulado impone metas inalcanzables, la capacidad analítica se inhibe y cede su lugar a una respuesta de bloqueo emocional autorreferencial.</w:t>
      </w:r>
    </w:p>
    <w:p w14:paraId="00000009" w14:textId="77777777" w:rsidR="0037011F" w:rsidRDefault="003C37AA">
      <w:pPr>
        <w:pStyle w:val="Ttulo6"/>
      </w:pPr>
      <w:bookmarkStart w:id="4" w:name="_448zlx6w4w7m" w:colFirst="0" w:colLast="0"/>
      <w:bookmarkEnd w:id="4"/>
      <w:r>
        <w:t>1.3 Taxonomía Afectiva: Emociones Integradas vs. Incidentales</w:t>
      </w:r>
    </w:p>
    <w:p w14:paraId="0000000A" w14:textId="77777777" w:rsidR="0037011F" w:rsidRDefault="003C37AA">
      <w:r>
        <w:t>Las investigaciones desarrolladas por David Sander en el Centro de Investigación de las Emociones de la Universidad de Ginebra imponen una diferenciación analítica fundamental para el análisis regulatorio de los procesos de decisión:</w:t>
      </w:r>
    </w:p>
    <w:p w14:paraId="0000000B" w14:textId="77777777" w:rsidR="0037011F" w:rsidRDefault="003C37AA">
      <w:pPr>
        <w:numPr>
          <w:ilvl w:val="0"/>
          <w:numId w:val="3"/>
        </w:numPr>
      </w:pPr>
      <w:r>
        <w:rPr>
          <w:b/>
          <w:bCs/>
        </w:rPr>
        <w:t>Emociones Integradas:</w:t>
      </w:r>
      <w:r>
        <w:t xml:space="preserve">  Son aquellos estados afectivos directamente vinculados con las características objetivas del objeto o la elección evaluada. En un proceso de compra, por ejemplo, el placer o rechazo generado por la fragancia de un perfume constituye una emoción integrada legítima, útil e inherente a la evaluación informada del producto.</w:t>
      </w:r>
    </w:p>
    <w:p w14:paraId="0000000C" w14:textId="77777777" w:rsidR="0037011F" w:rsidRDefault="003C37AA">
      <w:pPr>
        <w:numPr>
          <w:ilvl w:val="0"/>
          <w:numId w:val="3"/>
        </w:numPr>
      </w:pPr>
      <w:r>
        <w:rPr>
          <w:b/>
          <w:bCs/>
        </w:rPr>
        <w:t>Emociones Incidentales:</w:t>
      </w:r>
      <w:r>
        <w:t xml:space="preserve">  Son estados afectivos provocados por variables periféricas o contextuales ajenas a la decisión principal, tales como la cadencia de la música ambiental en un establecimiento, las combinaciones cromáticas del espacio o la amabilidad fingida del </w:t>
      </w:r>
      <w:proofErr w:type="spellStart"/>
      <w:proofErr w:type="gramStart"/>
      <w:r>
        <w:t>vendedor.El</w:t>
      </w:r>
      <w:proofErr w:type="spellEnd"/>
      <w:proofErr w:type="gramEnd"/>
      <w:r>
        <w:t xml:space="preserve"> aprovechamiento sistemático de las emociones incidentales constituye una vulnerabilidad estructural para el ciudadano y el consumidor. Al alterar el contexto para desencadenar respuestas incidentales, las plataformas y entornos comerciales introducen un </w:t>
      </w:r>
      <w:r>
        <w:t xml:space="preserve">sesgo espurio que cortocircuita el juicio analítico, forzando decisiones impulsivas que benefician exclusivamente al diseñador del </w:t>
      </w:r>
      <w:proofErr w:type="spellStart"/>
      <w:proofErr w:type="gramStart"/>
      <w:r>
        <w:t>entorno.La</w:t>
      </w:r>
      <w:proofErr w:type="spellEnd"/>
      <w:proofErr w:type="gramEnd"/>
      <w:r>
        <w:t xml:space="preserve"> explotación deliberada de estas fragilidades psicobiológicas del individuo marca el punto de partida para su monetización en el mercado a través de las técnicas del neuromarketing.</w:t>
      </w:r>
    </w:p>
    <w:p w14:paraId="0000000D" w14:textId="77777777" w:rsidR="0037011F" w:rsidRDefault="003C37AA">
      <w:pPr>
        <w:pStyle w:val="Ttulo5"/>
      </w:pPr>
      <w:bookmarkStart w:id="5" w:name="_mb4zslbk37bz" w:colFirst="0" w:colLast="0"/>
      <w:bookmarkEnd w:id="5"/>
      <w:r>
        <w:t>2. La Mercantilización de los Afectos: Neuromarketing y Modificación de la Conducta de Consumo</w:t>
      </w:r>
    </w:p>
    <w:p w14:paraId="0000000E" w14:textId="77777777" w:rsidR="0037011F" w:rsidRDefault="003C37AA">
      <w:r>
        <w:t xml:space="preserve">La transición del marketing tradicional hacia el neuromarketing representa un salto cualitativo en las estrategias de extracción de valor económico. Esta disciplina sustituye las métricas declarativas convencionales (encuestas o grupos focales) por la captura neurocientífica en tiempo real de las respuestas biológicas e Inconscientes del individuo, convirtiendo los estados afectivos en activos </w:t>
      </w:r>
      <w:proofErr w:type="spellStart"/>
      <w:r>
        <w:t>monetizables</w:t>
      </w:r>
      <w:proofErr w:type="spellEnd"/>
      <w:r>
        <w:t>.</w:t>
      </w:r>
    </w:p>
    <w:p w14:paraId="0000000F" w14:textId="77777777" w:rsidR="0037011F" w:rsidRDefault="003C37AA">
      <w:pPr>
        <w:pStyle w:val="Ttulo6"/>
      </w:pPr>
      <w:bookmarkStart w:id="6" w:name="_dhmomnhpi26s" w:colFirst="0" w:colLast="0"/>
      <w:bookmarkEnd w:id="6"/>
      <w:r>
        <w:lastRenderedPageBreak/>
        <w:t>2.1 Tecnologías de Extracción Afectiva: EEG y Resonancia Magnética Funcional (</w:t>
      </w:r>
      <w:proofErr w:type="spellStart"/>
      <w:r>
        <w:t>fMRI</w:t>
      </w:r>
      <w:proofErr w:type="spellEnd"/>
      <w:r>
        <w:t>)</w:t>
      </w:r>
    </w:p>
    <w:p w14:paraId="00000010" w14:textId="77777777" w:rsidR="0037011F" w:rsidRDefault="003C37AA">
      <w:r>
        <w:t>La cuantificación de la dinámica cerebral dentro del mercado se apoya en dos arquitecturas tecnológicas de medición:</w:t>
      </w:r>
    </w:p>
    <w:p w14:paraId="00000011" w14:textId="77777777" w:rsidR="0037011F" w:rsidRDefault="003C37AA">
      <w:pPr>
        <w:numPr>
          <w:ilvl w:val="0"/>
          <w:numId w:val="2"/>
        </w:numPr>
      </w:pPr>
      <w:r>
        <w:rPr>
          <w:b/>
          <w:bCs/>
        </w:rPr>
        <w:t>Electroencefalografía (EEG):</w:t>
      </w:r>
      <w:r>
        <w:t xml:space="preserve">  A través de cascos livianos provistos de sensores colocados en el cuero cabelludo, el EEG registra la actividad bioeléctrica cortical. Esta tecnología capta fluctuaciones emocionales primarias (alegría, sorpresa, tensión) y variables de alta especificidad conductual, tales como la carga cognitiva, el nivel de atención y el grado de motivación o rechazo. En experimentos de campo en tiendas de tecnología —como los liderados por la especialista Diana Lucaci junto al investigador Ferdinand— se ha demostrado c</w:t>
      </w:r>
      <w:r>
        <w:t xml:space="preserve">ómo la alteración sensorial del punto de venta condiciona la </w:t>
      </w:r>
      <w:proofErr w:type="spellStart"/>
      <w:r>
        <w:t>neurodinámica</w:t>
      </w:r>
      <w:proofErr w:type="spellEnd"/>
      <w:r>
        <w:t xml:space="preserve"> del comprador. Al transitar por la sección infantil, caracterizada por iluminación cálida y colores suaves, el EEG de los participantes registró un viraje inmediato hacia estados de alta atracción e impulsividad visual, atrayendo al sujeto a zonas específicas sin que este pudiera articular conscientemente la razón de su desplazamiento.</w:t>
      </w:r>
    </w:p>
    <w:p w14:paraId="00000012" w14:textId="77777777" w:rsidR="0037011F" w:rsidRDefault="003C37AA">
      <w:pPr>
        <w:numPr>
          <w:ilvl w:val="0"/>
          <w:numId w:val="2"/>
        </w:numPr>
      </w:pPr>
      <w:r>
        <w:rPr>
          <w:b/>
          <w:bCs/>
        </w:rPr>
        <w:t>Resonancia Magnética Funcional (</w:t>
      </w:r>
      <w:proofErr w:type="spellStart"/>
      <w:r>
        <w:rPr>
          <w:b/>
          <w:bCs/>
        </w:rPr>
        <w:t>fMRI</w:t>
      </w:r>
      <w:proofErr w:type="spellEnd"/>
      <w:r>
        <w:rPr>
          <w:b/>
          <w:bCs/>
        </w:rPr>
        <w:t>):</w:t>
      </w:r>
      <w:r>
        <w:t xml:space="preserve">  Esta técnica de neuroimagen mapea la variación en la irrigación sanguínea (respuesta hemodinámica) en estructuras cerebrales profundas con precisión milimétrica. Al evaluar las reacciones subcorticales ante piezas publicitarias, los algoritmos predictivos alimentados con datos de </w:t>
      </w:r>
      <w:proofErr w:type="spellStart"/>
      <w:r>
        <w:t>fMRI</w:t>
      </w:r>
      <w:proofErr w:type="spellEnd"/>
      <w:r>
        <w:t xml:space="preserve"> logran anticipar el éxito comercial de una campaña con </w:t>
      </w:r>
      <w:proofErr w:type="gramStart"/>
      <w:r>
        <w:t xml:space="preserve">un  </w:t>
      </w:r>
      <w:r>
        <w:rPr>
          <w:b/>
          <w:bCs/>
        </w:rPr>
        <w:t>80</w:t>
      </w:r>
      <w:proofErr w:type="gramEnd"/>
      <w:r>
        <w:rPr>
          <w:b/>
          <w:bCs/>
        </w:rPr>
        <w:t xml:space="preserve">% de </w:t>
      </w:r>
      <w:proofErr w:type="gramStart"/>
      <w:r>
        <w:rPr>
          <w:b/>
          <w:bCs/>
        </w:rPr>
        <w:t>exactitud</w:t>
      </w:r>
      <w:r>
        <w:t xml:space="preserve"> ,</w:t>
      </w:r>
      <w:proofErr w:type="gramEnd"/>
      <w:r>
        <w:t xml:space="preserve"> mapeando deseos inconfesables o impulsos que el consumidor no puede verbalizar ni </w:t>
      </w:r>
      <w:proofErr w:type="spellStart"/>
      <w:proofErr w:type="gramStart"/>
      <w:r>
        <w:t>disimular.Esta</w:t>
      </w:r>
      <w:proofErr w:type="spellEnd"/>
      <w:proofErr w:type="gramEnd"/>
      <w:r>
        <w:t xml:space="preserve"> capacidad extractiva plantea profundas tensiones normativas. Mientras que jurisdicciones como la francesa prohíben taxativamente el uso de la resonancia magnética funcional para fines no médicos o comerciales, grandes firmas multinacionales eluden el espíritu de la norma realizando estos ensayos en países vecinos con marcos regulatorios laxos, externalizando la intrusión neurobiológica.</w:t>
      </w:r>
    </w:p>
    <w:p w14:paraId="00000013" w14:textId="77777777" w:rsidR="0037011F" w:rsidRDefault="003C37AA">
      <w:pPr>
        <w:pStyle w:val="Ttulo6"/>
      </w:pPr>
      <w:bookmarkStart w:id="7" w:name="_djq9quj6oqo2" w:colFirst="0" w:colLast="0"/>
      <w:bookmarkEnd w:id="7"/>
      <w:r>
        <w:t>2.2 Arquitectura del Entorno Comercial y Dramaturgia de la Persuasión</w:t>
      </w:r>
    </w:p>
    <w:p w14:paraId="00000014" w14:textId="77777777" w:rsidR="0037011F" w:rsidRDefault="003C37AA">
      <w:r>
        <w:t>La instrumentalización de los datos afectivos se materializa mediante la intervención sistemática de los entornos de consumo:</w:t>
      </w:r>
    </w:p>
    <w:p w14:paraId="00000015" w14:textId="77777777" w:rsidR="0037011F" w:rsidRDefault="003C37AA">
      <w:pPr>
        <w:pStyle w:val="Ttulo6"/>
      </w:pPr>
      <w:bookmarkStart w:id="8" w:name="_rp8hqkxeljq7" w:colFirst="0" w:colLast="0"/>
      <w:bookmarkEnd w:id="8"/>
      <w:r>
        <w:t>Arquitectura Espacial y Estímulos Subliminales</w:t>
      </w:r>
    </w:p>
    <w:p w14:paraId="00000016" w14:textId="77777777" w:rsidR="0037011F" w:rsidRDefault="003C37AA">
      <w:r>
        <w:t>El diseño de los espacios comerciales integra activadores afectivos incidentales: iluminación con temperaturas de color específicas, carritos de compra con volúmenes hipertrofiados (que inducen la sensación de escasez y estimulan el sobrellenado) y la fijación de precios redondeados para neutralizar la fricción analítica. Estas técnicas alteran la percepción de valor de forma inadvertida, minando el juicio crítico del comprador.</w:t>
      </w:r>
    </w:p>
    <w:p w14:paraId="00000017" w14:textId="77777777" w:rsidR="0037011F" w:rsidRDefault="003C37AA">
      <w:pPr>
        <w:pStyle w:val="Ttulo6"/>
      </w:pPr>
      <w:bookmarkStart w:id="9" w:name="_14qjy897qhex" w:colFirst="0" w:colLast="0"/>
      <w:bookmarkEnd w:id="9"/>
      <w:r>
        <w:t>Secuenciación Dramatúrgica de la Persuasión</w:t>
      </w:r>
    </w:p>
    <w:p w14:paraId="00000018" w14:textId="77777777" w:rsidR="0037011F" w:rsidRDefault="003C37AA">
      <w:r>
        <w:t>La producción audiovisual publicitaria optimizada mediante neuroimagen aplica una narrativa en tres fases estrictas: en primer lugar, se activa el miedo o la ansiedad mediante la exposición a un problema; posteriormente, se presenta el producto como el único factor neutralizador de la amenaza; finalmente, se inducen emociones positivas de recompensa y alivio. Esta secuencia "problema-solución-valor añadido" condiciona la respuesta dopaminérgica del espectador.</w:t>
      </w:r>
    </w:p>
    <w:p w14:paraId="00000019" w14:textId="77777777" w:rsidR="0037011F" w:rsidRDefault="003C37AA">
      <w:pPr>
        <w:pStyle w:val="Ttulo6"/>
      </w:pPr>
      <w:bookmarkStart w:id="10" w:name="_shwo0nccae0f" w:colFirst="0" w:colLast="0"/>
      <w:bookmarkEnd w:id="10"/>
      <w:r>
        <w:lastRenderedPageBreak/>
        <w:t>Cuantificación Financiera e Impacto Económico</w:t>
      </w:r>
    </w:p>
    <w:p w14:paraId="0000001A" w14:textId="77777777" w:rsidR="0037011F" w:rsidRDefault="003C37AA">
      <w:r>
        <w:t xml:space="preserve">A escala corporativa, las intervenciones afectivas leves que optimizan la experiencia del usuario entre </w:t>
      </w:r>
      <w:proofErr w:type="gramStart"/>
      <w:r>
        <w:t xml:space="preserve">un  </w:t>
      </w:r>
      <w:r>
        <w:rPr>
          <w:b/>
          <w:bCs/>
        </w:rPr>
        <w:t>5</w:t>
      </w:r>
      <w:proofErr w:type="gramEnd"/>
      <w:r>
        <w:rPr>
          <w:b/>
          <w:bCs/>
        </w:rPr>
        <w:t>% y un 10</w:t>
      </w:r>
      <w:proofErr w:type="gramStart"/>
      <w:r>
        <w:rPr>
          <w:b/>
          <w:bCs/>
        </w:rPr>
        <w:t>%</w:t>
      </w:r>
      <w:r>
        <w:t xml:space="preserve">  se</w:t>
      </w:r>
      <w:proofErr w:type="gramEnd"/>
      <w:r>
        <w:t xml:space="preserve"> traducen en retornos de cientos de millones de dólares. Asimismo, las campañas publicitarias calibradas mediante </w:t>
      </w:r>
      <w:proofErr w:type="spellStart"/>
      <w:r>
        <w:t>fMRI</w:t>
      </w:r>
      <w:proofErr w:type="spellEnd"/>
      <w:r>
        <w:t xml:space="preserve"> logran incrementos comprobados en ventas de entre </w:t>
      </w:r>
      <w:proofErr w:type="gramStart"/>
      <w:r>
        <w:t xml:space="preserve">un  </w:t>
      </w:r>
      <w:r>
        <w:rPr>
          <w:b/>
          <w:bCs/>
        </w:rPr>
        <w:t>16</w:t>
      </w:r>
      <w:proofErr w:type="gramEnd"/>
      <w:r>
        <w:rPr>
          <w:b/>
          <w:bCs/>
        </w:rPr>
        <w:t>%, 20% y hasta un 30</w:t>
      </w:r>
      <w:proofErr w:type="gramStart"/>
      <w:r>
        <w:rPr>
          <w:b/>
          <w:bCs/>
        </w:rPr>
        <w:t>%</w:t>
      </w:r>
      <w:r>
        <w:t xml:space="preserve"> .</w:t>
      </w:r>
      <w:proofErr w:type="gramEnd"/>
      <w:r>
        <w:t xml:space="preserve"> Esta asimetría convierte la manipulación </w:t>
      </w:r>
      <w:proofErr w:type="spellStart"/>
      <w:r>
        <w:t>neuroemocional</w:t>
      </w:r>
      <w:proofErr w:type="spellEnd"/>
      <w:r>
        <w:t xml:space="preserve"> en una causa directa de distorsión del mercado y perjuicio sistémico al consumidor.</w:t>
      </w:r>
    </w:p>
    <w:p w14:paraId="0000001B" w14:textId="77777777" w:rsidR="0037011F" w:rsidRDefault="003C37AA">
      <w:pPr>
        <w:pStyle w:val="Ttulo6"/>
      </w:pPr>
      <w:bookmarkStart w:id="11" w:name="_49ku74f7hcel" w:colFirst="0" w:colLast="0"/>
      <w:bookmarkEnd w:id="11"/>
      <w:r>
        <w:t>2.3 Manipulación de Emociones Sociales y Dinámicas Grupo-Conductuales</w:t>
      </w:r>
    </w:p>
    <w:p w14:paraId="0000001C" w14:textId="77777777" w:rsidR="0037011F" w:rsidRDefault="003C37AA">
      <w:r>
        <w:t xml:space="preserve">Más allá de las respuestas emocionales individuales, la economía conductual ha demostrado la alta permeabilidad de las emociones sociales complejas (altruismo, culpa, vergüenza y confianza) dentro de las dinámicas colectivas. En un experimento de campo desarrollado por Giuseppe Attanasi durante un festival masivo en el sur de Italia, se evaluó el comportamiento de los asistentes mediante un juego de incentivos financieros basados en vales de 8 </w:t>
      </w:r>
      <w:proofErr w:type="spellStart"/>
      <w:proofErr w:type="gramStart"/>
      <w:r>
        <w:t>euros.En</w:t>
      </w:r>
      <w:proofErr w:type="spellEnd"/>
      <w:proofErr w:type="gramEnd"/>
      <w:r>
        <w:t xml:space="preserve"> la prueba, los jugadores debían elegir a ciegas entre varios vasos con distintas proporciones de bolas blancas (ganadoras) y naranjas (perdedoras) para determinar la asignación del premio respecto a un desconocido. La mecánica forzaba una elección entre optimizar la probabilidad personal de ganancia (decisión egoísta) o favorecer una distribución equitativa (decisión altruista). El estudio demostró que, aunque la mayoría se decanta inicialmente por la opción egoísta, la posterior divulgación transp</w:t>
      </w:r>
      <w:r>
        <w:t>arente de su elección ante el oponente activa niveles agudos de culpa y miedo a la vergüenza social. Al ofrecérseles la oportunidad de reconsiderar, una proporción significativa de los participantes corrigió su decisión hacia el altruismo para reparar su imagen social. Crucialmente, el estudio reveló que el contexto colectivo festivo —caracterizado por la música, el baile y la inmersión en la multitud— actuó como un catalizador decisivo de la generosidad comunitaria, demostrando que las emociones sociales p</w:t>
      </w:r>
      <w:r>
        <w:t xml:space="preserve">ueden ser orquestadas o inhibidas según la configuración del </w:t>
      </w:r>
      <w:proofErr w:type="spellStart"/>
      <w:r>
        <w:t>entorno.La</w:t>
      </w:r>
      <w:proofErr w:type="spellEnd"/>
      <w:r>
        <w:t xml:space="preserve"> capacidad de orquestar estados emocionales a nivel masivo trasciende la esfera comercial, encontrando su aplicación más crítica en la modelación de la opinión pública y el debate político.</w:t>
      </w:r>
    </w:p>
    <w:p w14:paraId="0000001D" w14:textId="77777777" w:rsidR="0037011F" w:rsidRDefault="003C37AA">
      <w:pPr>
        <w:pStyle w:val="Ttulo5"/>
      </w:pPr>
      <w:bookmarkStart w:id="12" w:name="_2rixxww429l8" w:colFirst="0" w:colLast="0"/>
      <w:bookmarkEnd w:id="12"/>
      <w:r>
        <w:t>3. Viralización, Manipulación Política y la Redefinición del Criterio Público</w:t>
      </w:r>
    </w:p>
    <w:p w14:paraId="0000001E" w14:textId="77777777" w:rsidR="0037011F" w:rsidRDefault="003C37AA">
      <w:r>
        <w:t>La explotación industrial de los afectos en el ámbito político constituye una amenaza directa para la estabilidad de las instituciones democráticas y la deliberación deliberativa. En redes digitales hiperconectadas, el contenido emocionalmente sobrecargado es instrumentalizado para desarticular el consenso factual, polarizar al electorado y acelerar la propagación de desinformación estratégica.</w:t>
      </w:r>
    </w:p>
    <w:p w14:paraId="0000001F" w14:textId="77777777" w:rsidR="0037011F" w:rsidRDefault="003C37AA">
      <w:pPr>
        <w:pStyle w:val="Ttulo6"/>
      </w:pPr>
      <w:bookmarkStart w:id="13" w:name="_ngifd54aw6p7" w:colFirst="0" w:colLast="0"/>
      <w:bookmarkEnd w:id="13"/>
      <w:r>
        <w:t>3.1 La Mecánica de la Desinformación: Lenguaje Afectivo y Difusión de Noticias Falsas</w:t>
      </w:r>
    </w:p>
    <w:p w14:paraId="00000020" w14:textId="77777777" w:rsidR="0037011F" w:rsidRDefault="003C37AA">
      <w:r>
        <w:t>Las investigaciones en neurociencia social lideradas por J. Van Bavel han desentrañado los mecanismos algorítmicos y psicológicos que vinculan la carga afectiva del lenguaje con la virulencia digital. Al evaluar estas dinámicas bajo el filtro de impacto regulatorio (</w:t>
      </w:r>
      <w:proofErr w:type="gramStart"/>
      <w:r>
        <w:t xml:space="preserve">" </w:t>
      </w:r>
      <w:r>
        <w:rPr>
          <w:i/>
          <w:iCs/>
        </w:rPr>
        <w:t xml:space="preserve">So </w:t>
      </w:r>
      <w:proofErr w:type="spellStart"/>
      <w:r>
        <w:rPr>
          <w:i/>
          <w:iCs/>
        </w:rPr>
        <w:t>What</w:t>
      </w:r>
      <w:proofErr w:type="spellEnd"/>
      <w:r>
        <w:rPr>
          <w:i/>
          <w:iCs/>
        </w:rPr>
        <w:t>?</w:t>
      </w:r>
      <w:proofErr w:type="gramEnd"/>
      <w:r>
        <w:t xml:space="preserve"> "), se observan las siguientes implicaciones sistémicas:</w:t>
      </w:r>
    </w:p>
    <w:p w14:paraId="00000021" w14:textId="77777777" w:rsidR="0037011F" w:rsidRDefault="003C37AA">
      <w:pPr>
        <w:numPr>
          <w:ilvl w:val="0"/>
          <w:numId w:val="4"/>
        </w:numPr>
      </w:pPr>
      <w:r>
        <w:rPr>
          <w:b/>
          <w:bCs/>
        </w:rPr>
        <w:t>Uso de Diccionarios Afectivos Especializados:</w:t>
      </w:r>
      <w:r>
        <w:t xml:space="preserve">  Las estrategias de comunicación política emplean repertorios léxicos científicos de más de 3,000 palabras clasificadas por su polaridad e intensidad emocional (ej.  </w:t>
      </w:r>
      <w:r>
        <w:rPr>
          <w:i/>
          <w:iCs/>
        </w:rPr>
        <w:t xml:space="preserve">terrorismo, matar, atacar, </w:t>
      </w:r>
      <w:proofErr w:type="gramStart"/>
      <w:r>
        <w:rPr>
          <w:i/>
          <w:iCs/>
        </w:rPr>
        <w:t>víctima</w:t>
      </w:r>
      <w:r>
        <w:t xml:space="preserve"> )</w:t>
      </w:r>
      <w:proofErr w:type="gramEnd"/>
      <w:r>
        <w:t>.</w:t>
      </w:r>
    </w:p>
    <w:p w14:paraId="00000022" w14:textId="77777777" w:rsidR="0037011F" w:rsidRDefault="003C37AA">
      <w:pPr>
        <w:numPr>
          <w:ilvl w:val="0"/>
          <w:numId w:val="4"/>
        </w:numPr>
      </w:pPr>
      <w:r>
        <w:rPr>
          <w:i/>
          <w:iCs/>
        </w:rPr>
        <w:t>Impacto Sistémico (</w:t>
      </w:r>
      <w:proofErr w:type="gramStart"/>
      <w:r>
        <w:rPr>
          <w:i/>
          <w:iCs/>
        </w:rPr>
        <w:t xml:space="preserve">"So </w:t>
      </w:r>
      <w:proofErr w:type="spellStart"/>
      <w:r>
        <w:rPr>
          <w:i/>
          <w:iCs/>
        </w:rPr>
        <w:t>What</w:t>
      </w:r>
      <w:proofErr w:type="spellEnd"/>
      <w:r>
        <w:rPr>
          <w:i/>
          <w:iCs/>
        </w:rPr>
        <w:t>?"</w:t>
      </w:r>
      <w:proofErr w:type="gramEnd"/>
      <w:r>
        <w:rPr>
          <w:i/>
          <w:iCs/>
        </w:rPr>
        <w:t>):</w:t>
      </w:r>
      <w:r>
        <w:t xml:space="preserve">  Permite la automatización programática de contenidos optimizados para activar la amígdala cerebral del usuario, garantizando </w:t>
      </w:r>
      <w:r>
        <w:lastRenderedPageBreak/>
        <w:t>que el discurso polarizante eclipse sistemáticamente a las propuestas programáticas razonadas.</w:t>
      </w:r>
    </w:p>
    <w:p w14:paraId="00000023" w14:textId="77777777" w:rsidR="0037011F" w:rsidRDefault="003C37AA">
      <w:pPr>
        <w:numPr>
          <w:ilvl w:val="0"/>
          <w:numId w:val="4"/>
        </w:numPr>
      </w:pPr>
      <w:r>
        <w:rPr>
          <w:b/>
          <w:bCs/>
        </w:rPr>
        <w:t>Incremento del 20% en la Tasa de Redifusión por Término Emocional:</w:t>
      </w:r>
      <w:r>
        <w:t xml:space="preserve">  Cada palabra de alta carga afectiva agregada a una publicación o tuit incrementa en promedio </w:t>
      </w:r>
      <w:proofErr w:type="gramStart"/>
      <w:r>
        <w:t xml:space="preserve">un  </w:t>
      </w:r>
      <w:r>
        <w:rPr>
          <w:b/>
          <w:bCs/>
        </w:rPr>
        <w:t>20%</w:t>
      </w:r>
      <w:r>
        <w:t xml:space="preserve">  la</w:t>
      </w:r>
      <w:proofErr w:type="gramEnd"/>
      <w:r>
        <w:t xml:space="preserve"> probabilidad de ser compartida, citada o recibir interacciones.</w:t>
      </w:r>
    </w:p>
    <w:p w14:paraId="00000024" w14:textId="77777777" w:rsidR="0037011F" w:rsidRDefault="003C37AA">
      <w:pPr>
        <w:numPr>
          <w:ilvl w:val="0"/>
          <w:numId w:val="4"/>
        </w:numPr>
      </w:pPr>
      <w:r>
        <w:rPr>
          <w:i/>
          <w:iCs/>
        </w:rPr>
        <w:t>Impacto Sistémico (</w:t>
      </w:r>
      <w:proofErr w:type="gramStart"/>
      <w:r>
        <w:rPr>
          <w:i/>
          <w:iCs/>
        </w:rPr>
        <w:t xml:space="preserve">"So </w:t>
      </w:r>
      <w:proofErr w:type="spellStart"/>
      <w:r>
        <w:rPr>
          <w:i/>
          <w:iCs/>
        </w:rPr>
        <w:t>What</w:t>
      </w:r>
      <w:proofErr w:type="spellEnd"/>
      <w:r>
        <w:rPr>
          <w:i/>
          <w:iCs/>
        </w:rPr>
        <w:t>?"</w:t>
      </w:r>
      <w:proofErr w:type="gramEnd"/>
      <w:r>
        <w:rPr>
          <w:i/>
          <w:iCs/>
        </w:rPr>
        <w:t>):</w:t>
      </w:r>
      <w:r>
        <w:t xml:space="preserve">  Modifica los incentivos de la comunicación pública. Los actores políticos son algorítmicamente premiados con mayor alcance e </w:t>
      </w:r>
      <w:proofErr w:type="spellStart"/>
      <w:r>
        <w:t>hipervisibilidad</w:t>
      </w:r>
      <w:proofErr w:type="spellEnd"/>
      <w:r>
        <w:t xml:space="preserve"> cuando sustituyen el debate técnico por la pirotecnia verbal, castigando el discurso moderado o analítico.</w:t>
      </w:r>
    </w:p>
    <w:p w14:paraId="00000025" w14:textId="77777777" w:rsidR="0037011F" w:rsidRDefault="003C37AA">
      <w:pPr>
        <w:numPr>
          <w:ilvl w:val="0"/>
          <w:numId w:val="4"/>
        </w:numPr>
      </w:pPr>
      <w:r>
        <w:rPr>
          <w:b/>
          <w:bCs/>
        </w:rPr>
        <w:t>Propagación de Noticias Falsas a una Velocidad 6 Veces Superior:</w:t>
      </w:r>
      <w:r>
        <w:t xml:space="preserve">  Las informaciones falsas se difunden en las </w:t>
      </w:r>
      <w:proofErr w:type="gramStart"/>
      <w:r>
        <w:t xml:space="preserve">redes  </w:t>
      </w:r>
      <w:r>
        <w:rPr>
          <w:b/>
          <w:bCs/>
        </w:rPr>
        <w:t>seis</w:t>
      </w:r>
      <w:proofErr w:type="gramEnd"/>
      <w:r>
        <w:rPr>
          <w:b/>
          <w:bCs/>
        </w:rPr>
        <w:t xml:space="preserve"> veces más </w:t>
      </w:r>
      <w:proofErr w:type="gramStart"/>
      <w:r>
        <w:rPr>
          <w:b/>
          <w:bCs/>
        </w:rPr>
        <w:t>rápido</w:t>
      </w:r>
      <w:r>
        <w:t xml:space="preserve">  que</w:t>
      </w:r>
      <w:proofErr w:type="gramEnd"/>
      <w:r>
        <w:t xml:space="preserve"> las noticias verificadas, impulsadas de manera casi exclusiva por la indignación, el miedo, la tristeza, el asco o la ira.</w:t>
      </w:r>
    </w:p>
    <w:p w14:paraId="00000026" w14:textId="77777777" w:rsidR="0037011F" w:rsidRDefault="003C37AA">
      <w:pPr>
        <w:numPr>
          <w:ilvl w:val="0"/>
          <w:numId w:val="4"/>
        </w:numPr>
      </w:pPr>
      <w:r>
        <w:rPr>
          <w:i/>
          <w:iCs/>
        </w:rPr>
        <w:t>Impacto Sistémico (</w:t>
      </w:r>
      <w:proofErr w:type="gramStart"/>
      <w:r>
        <w:rPr>
          <w:i/>
          <w:iCs/>
        </w:rPr>
        <w:t xml:space="preserve">"So </w:t>
      </w:r>
      <w:proofErr w:type="spellStart"/>
      <w:r>
        <w:rPr>
          <w:i/>
          <w:iCs/>
        </w:rPr>
        <w:t>What</w:t>
      </w:r>
      <w:proofErr w:type="spellEnd"/>
      <w:r>
        <w:rPr>
          <w:i/>
          <w:iCs/>
        </w:rPr>
        <w:t>?"</w:t>
      </w:r>
      <w:proofErr w:type="gramEnd"/>
      <w:r>
        <w:rPr>
          <w:i/>
          <w:iCs/>
        </w:rPr>
        <w:t>):</w:t>
      </w:r>
      <w:r>
        <w:t xml:space="preserve">  Revela que el modelo de negocio de las plataformas digitales —basado en el tiempo de permanencia y el compromiso emocionado </w:t>
      </w:r>
      <w:proofErr w:type="gramStart"/>
      <w:r>
        <w:t xml:space="preserve">( </w:t>
      </w:r>
      <w:proofErr w:type="spellStart"/>
      <w:r>
        <w:rPr>
          <w:i/>
          <w:iCs/>
        </w:rPr>
        <w:t>engagement</w:t>
      </w:r>
      <w:proofErr w:type="spellEnd"/>
      <w:proofErr w:type="gramEnd"/>
      <w:r>
        <w:t xml:space="preserve"> )— genera una asimetría estructural donde la mentira indignante es financieramente más rentable que la verdad objetiva, erosionando el tejido epistemológico de la sociedad.</w:t>
      </w:r>
    </w:p>
    <w:p w14:paraId="00000027" w14:textId="77777777" w:rsidR="0037011F" w:rsidRDefault="003C37AA">
      <w:pPr>
        <w:pStyle w:val="Ttulo6"/>
      </w:pPr>
      <w:bookmarkStart w:id="14" w:name="_1l7z14zcgair" w:colFirst="0" w:colLast="0"/>
      <w:bookmarkEnd w:id="14"/>
      <w:r>
        <w:t>3.2 La Teoría del "Cerebro Parcial": Identidad Grupal y Supresión de la Realidad Fáctica</w:t>
      </w:r>
    </w:p>
    <w:p w14:paraId="00000028" w14:textId="77777777" w:rsidR="0037011F" w:rsidRDefault="003C37AA">
      <w:r>
        <w:t xml:space="preserve">Para comprender la resistencia de la ciudadanía ante la verdad comprobable, la neurociencia social plantea el concepto </w:t>
      </w:r>
      <w:proofErr w:type="gramStart"/>
      <w:r>
        <w:t xml:space="preserve">del  </w:t>
      </w:r>
      <w:r>
        <w:rPr>
          <w:b/>
          <w:bCs/>
        </w:rPr>
        <w:t>"</w:t>
      </w:r>
      <w:proofErr w:type="gramEnd"/>
      <w:r>
        <w:rPr>
          <w:b/>
          <w:bCs/>
        </w:rPr>
        <w:t>cerebro parcial</w:t>
      </w:r>
      <w:proofErr w:type="gramStart"/>
      <w:r>
        <w:rPr>
          <w:b/>
          <w:bCs/>
        </w:rPr>
        <w:t>"</w:t>
      </w:r>
      <w:r>
        <w:t xml:space="preserve">  (</w:t>
      </w:r>
      <w:proofErr w:type="gramEnd"/>
      <w:r>
        <w:t xml:space="preserve"> </w:t>
      </w:r>
      <w:proofErr w:type="spellStart"/>
      <w:r>
        <w:rPr>
          <w:i/>
          <w:iCs/>
        </w:rPr>
        <w:t>partisan</w:t>
      </w:r>
      <w:proofErr w:type="spellEnd"/>
      <w:r>
        <w:rPr>
          <w:i/>
          <w:iCs/>
        </w:rPr>
        <w:t xml:space="preserve"> </w:t>
      </w:r>
      <w:proofErr w:type="spellStart"/>
      <w:proofErr w:type="gramStart"/>
      <w:r>
        <w:rPr>
          <w:i/>
          <w:iCs/>
        </w:rPr>
        <w:t>brain</w:t>
      </w:r>
      <w:proofErr w:type="spellEnd"/>
      <w:r>
        <w:t xml:space="preserve"> )</w:t>
      </w:r>
      <w:proofErr w:type="gramEnd"/>
      <w:r>
        <w:t xml:space="preserve">. Esta formulación teórica establece que el procesamiento de la información política no busca evaluar la verdad empírica, sino salvaguardar la pertenencia grupal y el estatus social del individuo dentro de su tribu </w:t>
      </w:r>
      <w:proofErr w:type="spellStart"/>
      <w:proofErr w:type="gramStart"/>
      <w:r>
        <w:t>ideológica.Cuando</w:t>
      </w:r>
      <w:proofErr w:type="spellEnd"/>
      <w:proofErr w:type="gramEnd"/>
      <w:r>
        <w:t xml:space="preserve"> una evidencia fáctica irrefutable amenaza la narrativa de la propia facción política, la psique percibe una amenaza directa al estatus y al sentido de pertenencia. Esta amenaza genera un estado de ansiedad profunda que el cerebro resuelve mediante una estrategia cognitiva de s</w:t>
      </w:r>
      <w:r>
        <w:t xml:space="preserve">upresión y negación de la realidad. En lugar de actualizar sus creencias, el individuo activa un razonamiento motivado para descalificar la fuente, reinterpretar los hechos u omitir la prueba, preservando así la cohesión ideológica del </w:t>
      </w:r>
      <w:proofErr w:type="spellStart"/>
      <w:proofErr w:type="gramStart"/>
      <w:r>
        <w:t>grupo.Un</w:t>
      </w:r>
      <w:proofErr w:type="spellEnd"/>
      <w:proofErr w:type="gramEnd"/>
      <w:r>
        <w:t xml:space="preserve"> caso paradigmático de este cortocircuito cognitivo se registró tras la investidura presidencial estadounidense de 2017. Pese a que las evidencias fotográficas aéreas demostraban de forma incontrovertible que la asistencia de público a la ceremonia de Barack Obama sup</w:t>
      </w:r>
      <w:r>
        <w:t xml:space="preserve">eraba ampliamente a la de Donald Trump, las mediciones demoscópicas revelaron que </w:t>
      </w:r>
      <w:proofErr w:type="gramStart"/>
      <w:r>
        <w:t xml:space="preserve">un  </w:t>
      </w:r>
      <w:r>
        <w:rPr>
          <w:b/>
          <w:bCs/>
        </w:rPr>
        <w:t>15</w:t>
      </w:r>
      <w:proofErr w:type="gramEnd"/>
      <w:r>
        <w:rPr>
          <w:b/>
          <w:bCs/>
        </w:rPr>
        <w:t xml:space="preserve">% de los votantes de </w:t>
      </w:r>
      <w:proofErr w:type="gramStart"/>
      <w:r>
        <w:rPr>
          <w:b/>
          <w:bCs/>
        </w:rPr>
        <w:t>Trump</w:t>
      </w:r>
      <w:r>
        <w:t xml:space="preserve">  afirmaba</w:t>
      </w:r>
      <w:proofErr w:type="gramEnd"/>
      <w:r>
        <w:t xml:space="preserve"> con rotundidad que la imagen que mostraba una multitud visiblemente menor correspondía en realidad al evento más concurrido. Para estos ciudadanos, admitir la evidencia visual representaba una capitulación identitaria ante el bando contrario. La emoción de pertenencia tribal operó como un filtro de supresión perceptiva, priorizando la lealtad política por sobre la realidad física manifestada ante sus propios </w:t>
      </w:r>
      <w:proofErr w:type="spellStart"/>
      <w:proofErr w:type="gramStart"/>
      <w:r>
        <w:t>ojos.La</w:t>
      </w:r>
      <w:proofErr w:type="spellEnd"/>
      <w:proofErr w:type="gramEnd"/>
      <w:r>
        <w:t xml:space="preserve"> recopilación de estos rastros emocionales en el entorno digital encuentra su cont</w:t>
      </w:r>
      <w:r>
        <w:t>inuidad física en la implementación de infraestructuras urbanas de videovigilancia equipadas con inteligencia artificial.</w:t>
      </w:r>
    </w:p>
    <w:p w14:paraId="00000029" w14:textId="77777777" w:rsidR="0037011F" w:rsidRDefault="003C37AA">
      <w:pPr>
        <w:pStyle w:val="Ttulo5"/>
      </w:pPr>
      <w:bookmarkStart w:id="15" w:name="_1l69qthdpyep" w:colFirst="0" w:colLast="0"/>
      <w:bookmarkEnd w:id="15"/>
      <w:r>
        <w:t>4. Reconocimiento Emocional por Inteligencia Artificial y Vigilancia Masiva</w:t>
      </w:r>
    </w:p>
    <w:p w14:paraId="0000002A" w14:textId="77777777" w:rsidR="0037011F" w:rsidRDefault="003C37AA">
      <w:r>
        <w:t xml:space="preserve">El desarrollo de la visión computacional y el aprendizaje profundo ha posibilitado la transición desde la minería de datos digitales voluntarios hacia la captura pasiva, continua e inadvertida de las expresiones humanas en el espacio físico. La inteligencia artificial </w:t>
      </w:r>
      <w:r>
        <w:lastRenderedPageBreak/>
        <w:t>aplicada al Reconocimiento Facial Emocional (FER, por sus siglas en inglés) pretende inferir estados psíquicos internos a partir de la codificación biométrica del rostro.</w:t>
      </w:r>
    </w:p>
    <w:p w14:paraId="0000002B" w14:textId="77777777" w:rsidR="0037011F" w:rsidRDefault="003C37AA">
      <w:pPr>
        <w:pStyle w:val="Ttulo6"/>
      </w:pPr>
      <w:bookmarkStart w:id="16" w:name="_188sbvdvpfyh" w:colFirst="0" w:colLast="0"/>
      <w:bookmarkEnd w:id="16"/>
      <w:r>
        <w:t xml:space="preserve">4.1 Modelamiento Algorítmico de </w:t>
      </w:r>
      <w:proofErr w:type="spellStart"/>
      <w:r>
        <w:t>Microexpresiones</w:t>
      </w:r>
      <w:proofErr w:type="spellEnd"/>
      <w:r>
        <w:t xml:space="preserve"> Faciales</w:t>
      </w:r>
    </w:p>
    <w:p w14:paraId="0000002C" w14:textId="77777777" w:rsidR="0037011F" w:rsidRDefault="003C37AA">
      <w:r>
        <w:t xml:space="preserve">Los sistemas algorítmicos de FER se entrenan mediante procesos matemáticos sobre bases de datos compuestas por millones de rostros etiquetados. Las redes neuronales profundas aprenden a mapear desviaciones micrométricas en la geometría facial —tensión muscular en comisuras labiales, </w:t>
      </w:r>
      <w:proofErr w:type="spellStart"/>
      <w:r>
        <w:t>microcontracciones</w:t>
      </w:r>
      <w:proofErr w:type="spellEnd"/>
      <w:r>
        <w:t xml:space="preserve"> de los párpados o elevaciones del entrecejo— para clasificarlas en categorías emocionales estandarizadas (alegría, enfado, asco, miedo, tristeza</w:t>
      </w:r>
      <w:proofErr w:type="gramStart"/>
      <w:r>
        <w:t>).Entre</w:t>
      </w:r>
      <w:proofErr w:type="gramEnd"/>
      <w:r>
        <w:t xml:space="preserve"> los casos de uso proyectados y operativos destacan:</w:t>
      </w:r>
    </w:p>
    <w:p w14:paraId="0000002D" w14:textId="77777777" w:rsidR="0037011F" w:rsidRDefault="003C37AA">
      <w:pPr>
        <w:numPr>
          <w:ilvl w:val="0"/>
          <w:numId w:val="5"/>
        </w:numPr>
      </w:pPr>
      <w:r>
        <w:rPr>
          <w:b/>
          <w:bCs/>
        </w:rPr>
        <w:t>Gestión Urbana y Transporte Público:</w:t>
      </w:r>
      <w:r>
        <w:t xml:space="preserve">  Evaluación automatizada del estado de ánimo colectivo en distintas zonas de una urbe o en líneas de transporte masivo para medir la satisfacción ciudadana ante obras o servicios, sustituyendo las encuestas democráticas tradicionales por un monitoreo biométrico pasivo.</w:t>
      </w:r>
    </w:p>
    <w:p w14:paraId="0000002E" w14:textId="77777777" w:rsidR="0037011F" w:rsidRDefault="003C37AA">
      <w:pPr>
        <w:numPr>
          <w:ilvl w:val="0"/>
          <w:numId w:val="5"/>
        </w:numPr>
      </w:pPr>
      <w:r>
        <w:rPr>
          <w:b/>
          <w:bCs/>
        </w:rPr>
        <w:t>Procesos de Selección Laboral:</w:t>
      </w:r>
      <w:r>
        <w:t xml:space="preserve">  Evaluaciones de candidatos mediante software que analiza las respuestas faciales e inflexiones de voz durante entrevistas virtuales, puntuando la idoneidad, el nivel de tensión o la "actitud afectiva" del aspirante frente a temas críticos, introduciendo sesgos automáticos incuestionables.</w:t>
      </w:r>
    </w:p>
    <w:p w14:paraId="0000002F" w14:textId="77777777" w:rsidR="0037011F" w:rsidRDefault="003C37AA">
      <w:pPr>
        <w:pStyle w:val="Ttulo6"/>
      </w:pPr>
      <w:bookmarkStart w:id="17" w:name="_b5eu5vhplt3d" w:colFirst="0" w:colLast="0"/>
      <w:bookmarkEnd w:id="17"/>
      <w:r>
        <w:t>4.2 Esferas de Despliegue, Consentimiento y el Modelo de Control Social</w:t>
      </w:r>
    </w:p>
    <w:p w14:paraId="00000030" w14:textId="77777777" w:rsidR="0037011F" w:rsidRDefault="003C37AA">
      <w:r>
        <w:t xml:space="preserve">La aplicación de la biometría emocional varía radicalmente según la esfera de despliegue y el marco de gobernanza, exacerbando los riesgos para los derechos fundamentales:| Ámbito de Aplicación | Nivel de Consentimiento / Permisibilidad | Riesgo Regulatorio y Social || ------ | ------ | ------ || </w:t>
      </w:r>
      <w:r>
        <w:rPr>
          <w:b/>
          <w:bCs/>
        </w:rPr>
        <w:t>Infraestructuras Críticas</w:t>
      </w:r>
      <w:proofErr w:type="gramStart"/>
      <w:r>
        <w:t xml:space="preserve">   </w:t>
      </w:r>
      <w:r>
        <w:rPr>
          <w:i/>
          <w:iCs/>
        </w:rPr>
        <w:t>(</w:t>
      </w:r>
      <w:proofErr w:type="gramEnd"/>
      <w:r>
        <w:rPr>
          <w:i/>
          <w:iCs/>
        </w:rPr>
        <w:t>Aeropuertos, Centrales Nucleares, Instalaciones Militares)</w:t>
      </w:r>
      <w:r>
        <w:t xml:space="preserve"> | Monitoreo restrictivo, autorizado y fuertemente regulado por motivos de seguridad nacional. | </w:t>
      </w:r>
      <w:r>
        <w:rPr>
          <w:b/>
          <w:bCs/>
        </w:rPr>
        <w:t>Bajo / Moderado:</w:t>
      </w:r>
      <w:r>
        <w:t xml:space="preserve">  Aceptado por expertos en seguridad (como </w:t>
      </w:r>
      <w:proofErr w:type="spellStart"/>
      <w:r>
        <w:t>Roman</w:t>
      </w:r>
      <w:proofErr w:type="spellEnd"/>
      <w:r>
        <w:t xml:space="preserve"> Bu) siempre que se restrinja estrictamente a la prevención de amenazas inminentes o la detección de estrés extremo en operadores de alto riesgo. || </w:t>
      </w:r>
      <w:r>
        <w:rPr>
          <w:b/>
          <w:bCs/>
        </w:rPr>
        <w:t>Vía Pública y Espacios Urbanos Abiertos</w:t>
      </w:r>
      <w:r>
        <w:t xml:space="preserve"> | Captura masiva y </w:t>
      </w:r>
      <w:proofErr w:type="gramStart"/>
      <w:r>
        <w:t xml:space="preserve">automatizada  </w:t>
      </w:r>
      <w:r>
        <w:rPr>
          <w:b/>
          <w:bCs/>
        </w:rPr>
        <w:t>sin</w:t>
      </w:r>
      <w:proofErr w:type="gramEnd"/>
      <w:r>
        <w:rPr>
          <w:b/>
          <w:bCs/>
        </w:rPr>
        <w:t xml:space="preserve"> </w:t>
      </w:r>
      <w:proofErr w:type="gramStart"/>
      <w:r>
        <w:rPr>
          <w:b/>
          <w:bCs/>
        </w:rPr>
        <w:t>consentimiento</w:t>
      </w:r>
      <w:r>
        <w:t xml:space="preserve">  ni</w:t>
      </w:r>
      <w:proofErr w:type="gramEnd"/>
      <w:r>
        <w:t xml:space="preserve"> alternativa de exclusión </w:t>
      </w:r>
      <w:proofErr w:type="gramStart"/>
      <w:r>
        <w:t xml:space="preserve">( </w:t>
      </w:r>
      <w:proofErr w:type="spellStart"/>
      <w:r>
        <w:rPr>
          <w:i/>
          <w:iCs/>
        </w:rPr>
        <w:t>opt</w:t>
      </w:r>
      <w:proofErr w:type="gramEnd"/>
      <w:r>
        <w:rPr>
          <w:i/>
          <w:iCs/>
        </w:rPr>
        <w:t>-</w:t>
      </w:r>
      <w:proofErr w:type="gramStart"/>
      <w:r>
        <w:rPr>
          <w:i/>
          <w:iCs/>
        </w:rPr>
        <w:t>out</w:t>
      </w:r>
      <w:proofErr w:type="spellEnd"/>
      <w:r>
        <w:t xml:space="preserve"> )</w:t>
      </w:r>
      <w:proofErr w:type="gramEnd"/>
      <w:r>
        <w:t xml:space="preserve">. | </w:t>
      </w:r>
      <w:r>
        <w:rPr>
          <w:b/>
          <w:bCs/>
        </w:rPr>
        <w:t>Extremo:</w:t>
      </w:r>
      <w:r>
        <w:t xml:space="preserve">  Violación masiva de la privacidad psíquica, inhibición de la protesta social y alteración de la espontaneidad ciudadana por vigilancia panóptica. || </w:t>
      </w:r>
      <w:r>
        <w:rPr>
          <w:b/>
          <w:bCs/>
        </w:rPr>
        <w:t>Sistemas Extensivos de Control Estatal</w:t>
      </w:r>
      <w:proofErr w:type="gramStart"/>
      <w:r>
        <w:t xml:space="preserve">   </w:t>
      </w:r>
      <w:r>
        <w:rPr>
          <w:i/>
          <w:iCs/>
        </w:rPr>
        <w:t>(</w:t>
      </w:r>
      <w:proofErr w:type="gramEnd"/>
      <w:r>
        <w:rPr>
          <w:i/>
          <w:iCs/>
        </w:rPr>
        <w:t>Ejemplo: Redes de vigilancia en China)</w:t>
      </w:r>
      <w:r>
        <w:t xml:space="preserve"> | Integración masiva </w:t>
      </w:r>
      <w:proofErr w:type="gramStart"/>
      <w:r>
        <w:t xml:space="preserve">a  </w:t>
      </w:r>
      <w:r>
        <w:rPr>
          <w:b/>
          <w:bCs/>
        </w:rPr>
        <w:t>cientos</w:t>
      </w:r>
      <w:proofErr w:type="gramEnd"/>
      <w:r>
        <w:rPr>
          <w:b/>
          <w:bCs/>
        </w:rPr>
        <w:t xml:space="preserve"> de millones de cámaras de </w:t>
      </w:r>
      <w:proofErr w:type="gramStart"/>
      <w:r>
        <w:rPr>
          <w:b/>
          <w:bCs/>
        </w:rPr>
        <w:t>vigilancia</w:t>
      </w:r>
      <w:r>
        <w:t xml:space="preserve">  conectadas</w:t>
      </w:r>
      <w:proofErr w:type="gramEnd"/>
      <w:r>
        <w:t xml:space="preserve"> a bases gubernamentales de datos centrales. | </w:t>
      </w:r>
      <w:r>
        <w:rPr>
          <w:b/>
          <w:bCs/>
        </w:rPr>
        <w:t>Crítico:</w:t>
      </w:r>
      <w:r>
        <w:t xml:space="preserve">  Consolidación de un modelo de control social integral donde la investigación penal, el perfilamiento afectivo y el puntaje de crédito social subordinan los derechos fundamentales a la estabilidad del régimen. |</w:t>
      </w:r>
    </w:p>
    <w:p w14:paraId="00000031" w14:textId="77777777" w:rsidR="0037011F" w:rsidRDefault="003C37AA">
      <w:r>
        <w:t>El despliegue de estas capacidades operativas desplaza el debate técnico hacia la esfera ético-normativa sobre la intangibilidad de la mente humana.</w:t>
      </w:r>
    </w:p>
    <w:p w14:paraId="00000032" w14:textId="77777777" w:rsidR="0037011F" w:rsidRDefault="003C37AA">
      <w:pPr>
        <w:pStyle w:val="Ttulo5"/>
      </w:pPr>
      <w:bookmarkStart w:id="18" w:name="_uvlrbvr620pm" w:colFirst="0" w:colLast="0"/>
      <w:bookmarkEnd w:id="18"/>
      <w:r>
        <w:t>5. Matriz de Impacto Ético, Transparencia Psíquica y Recomendaciones de Política Pública</w:t>
      </w:r>
    </w:p>
    <w:p w14:paraId="00000033" w14:textId="77777777" w:rsidR="0037011F" w:rsidRDefault="003C37AA">
      <w:r>
        <w:t>Frente a la rápida expansión del software afectivo, resulta imperativo establecer marcos regulatorios preventivos orientados a salvaguardar la integridad psíquica de la ciudadanía ante formas avanzadas de intromisión e ingeniería social algorítmica.</w:t>
      </w:r>
    </w:p>
    <w:p w14:paraId="00000034" w14:textId="77777777" w:rsidR="0037011F" w:rsidRDefault="003C37AA">
      <w:pPr>
        <w:pStyle w:val="Ttulo6"/>
      </w:pPr>
      <w:bookmarkStart w:id="19" w:name="_t9p1jt6um9uf" w:colFirst="0" w:colLast="0"/>
      <w:bookmarkEnd w:id="19"/>
      <w:r>
        <w:t>5.1 El Concepto de "Transparencia Emocional" y la Inviolabilidad de la Psique</w:t>
      </w:r>
    </w:p>
    <w:p w14:paraId="00000035" w14:textId="77777777" w:rsidR="0037011F" w:rsidRDefault="003C37AA">
      <w:r>
        <w:t xml:space="preserve">La pretensión de imponer un paradigma de "transparencia emocional" mediante la monitorización biomecánica disuelve la frontera entre la esfera pública y la privacidad </w:t>
      </w:r>
      <w:r>
        <w:lastRenderedPageBreak/>
        <w:t xml:space="preserve">absoluta del individuo. En las interacciones humanas orgánicas, la exteriorización de las emociones es un acto comunicativo supeditado a la voluntad del sujeto: cada persona posee el derecho inalienable de decidir qué siente, qué expresa y qué reserva para su </w:t>
      </w:r>
      <w:proofErr w:type="spellStart"/>
      <w:proofErr w:type="gramStart"/>
      <w:r>
        <w:t>intimidad.El</w:t>
      </w:r>
      <w:proofErr w:type="spellEnd"/>
      <w:proofErr w:type="gramEnd"/>
      <w:r>
        <w:t xml:space="preserve"> rastreo automatizado de </w:t>
      </w:r>
      <w:proofErr w:type="spellStart"/>
      <w:r>
        <w:t>microexpresiones</w:t>
      </w:r>
      <w:proofErr w:type="spellEnd"/>
      <w:r>
        <w:t xml:space="preserve"> invalida esta reserva consciente. Tal como señalan expertos en tecnología y analistas de impacto social, la captura de señales afectivas no consentida constituye una intrusión ilegítima en la psique</w:t>
      </w:r>
      <w:r>
        <w:t xml:space="preserve"> humana. La mente no puede ser tratada como un espacio transparente o un yacimiento de datos extractivo accesible para corporaciones o Estados. Sin la protección del fuero interno, la libertad de pensamiento, la libertad de conciencia y la propia dignidad humana quedan severamente fracturadas. Por ello, la doctrina emergente de </w:t>
      </w:r>
      <w:proofErr w:type="gramStart"/>
      <w:r>
        <w:t xml:space="preserve">los  </w:t>
      </w:r>
      <w:r>
        <w:rPr>
          <w:b/>
          <w:bCs/>
        </w:rPr>
        <w:t>neuroderechos</w:t>
      </w:r>
      <w:proofErr w:type="gramEnd"/>
      <w:r>
        <w:t xml:space="preserve">  exige elevar la privacidad mental y la libertad cognitiva al rango de derechos humanos fundamentales intangibles frente al desarrollo tecnológico.</w:t>
      </w:r>
    </w:p>
    <w:p w14:paraId="00000036" w14:textId="77777777" w:rsidR="0037011F" w:rsidRDefault="003C37AA">
      <w:pPr>
        <w:pStyle w:val="Ttulo6"/>
      </w:pPr>
      <w:bookmarkStart w:id="20" w:name="_dsmpi62e5vlc" w:colFirst="0" w:colLast="0"/>
      <w:bookmarkEnd w:id="20"/>
      <w:r>
        <w:t>5.2 Hoja de Ruta Regulatoria y Directrices para Consultores en Políticas Públicas</w:t>
      </w:r>
    </w:p>
    <w:p w14:paraId="00000037" w14:textId="77777777" w:rsidR="0037011F" w:rsidRDefault="003C37AA">
      <w:r>
        <w:t>Para orientar la acción legislativa y dotar a las instituciones de herramientas de contención efectivas, se establece el siguiente decálogo de directrices estratégicas de política pública:</w:t>
      </w:r>
    </w:p>
    <w:p w14:paraId="00000038" w14:textId="77777777" w:rsidR="0037011F" w:rsidRDefault="003C37AA">
      <w:pPr>
        <w:numPr>
          <w:ilvl w:val="0"/>
          <w:numId w:val="1"/>
        </w:numPr>
      </w:pPr>
      <w:r>
        <w:rPr>
          <w:b/>
          <w:bCs/>
        </w:rPr>
        <w:t>Prohibición Absoluta del Reconocimiento Facial Emocional en Espacios Públicos:</w:t>
      </w:r>
      <w:r>
        <w:t xml:space="preserve">  Aprobar moratorias vinculantes que veten el despliegue de tecnologías FER en calles, plazas, redes de transporte y espacios de libre circulación pública, donde la obtención del consentimiento previo, libre e informado resulte técnicamente imposible.</w:t>
      </w:r>
    </w:p>
    <w:p w14:paraId="00000039" w14:textId="77777777" w:rsidR="0037011F" w:rsidRDefault="003C37AA">
      <w:pPr>
        <w:numPr>
          <w:ilvl w:val="0"/>
          <w:numId w:val="1"/>
        </w:numPr>
      </w:pPr>
      <w:r>
        <w:rPr>
          <w:b/>
          <w:bCs/>
        </w:rPr>
        <w:t>Proscripción del Diagnóstico Afectivo en Entornos Laborales y Académicos:</w:t>
      </w:r>
      <w:r>
        <w:t xml:space="preserve">  Prohibir la utilización de software de análisis de expresiones faciales, métricas vocales o señales biológicas destinado a la evaluación de aspirantes en entrevistas de trabajo, medición de productividad de empleados o calificación académica de estudiantes.</w:t>
      </w:r>
    </w:p>
    <w:p w14:paraId="0000003A" w14:textId="77777777" w:rsidR="0037011F" w:rsidRDefault="003C37AA">
      <w:pPr>
        <w:numPr>
          <w:ilvl w:val="0"/>
          <w:numId w:val="1"/>
        </w:numPr>
      </w:pPr>
      <w:r>
        <w:rPr>
          <w:b/>
          <w:bCs/>
        </w:rPr>
        <w:t>Prohibición del Uso Comercial de Neurotecnologías Severas (</w:t>
      </w:r>
      <w:proofErr w:type="spellStart"/>
      <w:r>
        <w:rPr>
          <w:b/>
          <w:bCs/>
        </w:rPr>
        <w:t>fMRI</w:t>
      </w:r>
      <w:proofErr w:type="spellEnd"/>
      <w:r>
        <w:rPr>
          <w:b/>
          <w:bCs/>
        </w:rPr>
        <w:t xml:space="preserve"> y EEG):</w:t>
      </w:r>
      <w:r>
        <w:t xml:space="preserve">  Restringir el uso de la Resonancia Magnética Funcional y el Electroencefalograma exclusivamente al ámbito médico-clínico y a la investigación científica autorizada, penalizando explícitamente su instrumentalización con fines de neuromarketing y prospección comercial.</w:t>
      </w:r>
    </w:p>
    <w:p w14:paraId="0000003B" w14:textId="77777777" w:rsidR="0037011F" w:rsidRDefault="003C37AA">
      <w:pPr>
        <w:numPr>
          <w:ilvl w:val="0"/>
          <w:numId w:val="1"/>
        </w:numPr>
      </w:pPr>
      <w:r>
        <w:rPr>
          <w:b/>
          <w:bCs/>
        </w:rPr>
        <w:t>Consagración Constitucional de los Neuroderechos y la Libertad Cognitiva:</w:t>
      </w:r>
      <w:r>
        <w:t xml:space="preserve">  Incorporar en los ordenamientos jurídicos nacionales el derecho fundamental a la continuidad psíquica, la privacidad mental y la autodeterminación cognitiva, </w:t>
      </w:r>
      <w:proofErr w:type="spellStart"/>
      <w:r>
        <w:t>tipificando</w:t>
      </w:r>
      <w:proofErr w:type="spellEnd"/>
      <w:r>
        <w:t xml:space="preserve"> como delito la </w:t>
      </w:r>
      <w:proofErr w:type="spellStart"/>
      <w:r>
        <w:t>neurointrusión</w:t>
      </w:r>
      <w:proofErr w:type="spellEnd"/>
      <w:r>
        <w:t xml:space="preserve"> o la manipulación subconsciente no consentida.</w:t>
      </w:r>
    </w:p>
    <w:p w14:paraId="0000003C" w14:textId="77777777" w:rsidR="0037011F" w:rsidRDefault="003C37AA">
      <w:pPr>
        <w:numPr>
          <w:ilvl w:val="0"/>
          <w:numId w:val="1"/>
        </w:numPr>
      </w:pPr>
      <w:r>
        <w:rPr>
          <w:b/>
          <w:bCs/>
        </w:rPr>
        <w:t>Auditoría Algorítmica Obligatoria a Modelos de Enganche en Redes Sociales:</w:t>
      </w:r>
      <w:r>
        <w:t xml:space="preserve">  Someter a las grandes plataformas digitales a auditorías independientes periódicas sobre sus algoritmos de recomendación, sancionando el uso deliberado de diccionarios afectivos e incentivos diseñados para monetizar la indignación, el odio o la polarización.</w:t>
      </w:r>
    </w:p>
    <w:p w14:paraId="0000003D" w14:textId="77777777" w:rsidR="0037011F" w:rsidRDefault="003C37AA">
      <w:pPr>
        <w:numPr>
          <w:ilvl w:val="0"/>
          <w:numId w:val="1"/>
        </w:numPr>
      </w:pPr>
      <w:r>
        <w:rPr>
          <w:b/>
          <w:bCs/>
        </w:rPr>
        <w:t>Tipificación de Precios Dinámicos e Inferencia Afectiva como Práctica Comercial Abusiva:</w:t>
      </w:r>
      <w:r>
        <w:t xml:space="preserve">  Prohibir que los proveedores de bienes y servicios ajusten tarifas, alteren ofertas o manipulen precios en tiempo real basándose en la detección biomecánica o la inferencia analítica de estados de vulnerabilidad emocional, estrés o urgencia del consumidor.</w:t>
      </w:r>
    </w:p>
    <w:p w14:paraId="0000003E" w14:textId="77777777" w:rsidR="0037011F" w:rsidRDefault="003C37AA">
      <w:pPr>
        <w:numPr>
          <w:ilvl w:val="0"/>
          <w:numId w:val="1"/>
        </w:numPr>
      </w:pPr>
      <w:r>
        <w:rPr>
          <w:b/>
          <w:bCs/>
        </w:rPr>
        <w:lastRenderedPageBreak/>
        <w:t>Sanción a la Extraterritorialidad de Ensayos Neurocientíficos Comerciales:</w:t>
      </w:r>
      <w:r>
        <w:t xml:space="preserve">  Establecer mecanismos de persecución legal y sanciones del mercado a empresas nacionales o transnacionales que realicen pruebas de neuromarketing altamente invasivas en jurisdicciones laxas para eludir las prohibiciones vigentes en sus países de origen.</w:t>
      </w:r>
    </w:p>
    <w:p w14:paraId="0000003F" w14:textId="77777777" w:rsidR="0037011F" w:rsidRDefault="003C37AA">
      <w:pPr>
        <w:numPr>
          <w:ilvl w:val="0"/>
          <w:numId w:val="1"/>
        </w:numPr>
      </w:pPr>
      <w:r>
        <w:rPr>
          <w:b/>
          <w:bCs/>
        </w:rPr>
        <w:t>Protección Reforzada de la Infancia y Adolescencia Frente al Rastreo Afectivo:</w:t>
      </w:r>
      <w:r>
        <w:t xml:space="preserve">  Establecer la prohibición total de la recopilación, perfilamiento e inferencia de datos emocionales de menores de edad en aplicaciones juegos, entornos virtuales, plataformas educativas y contenidos digitales.</w:t>
      </w:r>
    </w:p>
    <w:p w14:paraId="00000040" w14:textId="77777777" w:rsidR="0037011F" w:rsidRDefault="003C37AA">
      <w:pPr>
        <w:numPr>
          <w:ilvl w:val="0"/>
          <w:numId w:val="1"/>
        </w:numPr>
      </w:pPr>
      <w:r>
        <w:rPr>
          <w:b/>
          <w:bCs/>
        </w:rPr>
        <w:t>Desmantelamiento de Redes Biométricas Estatales de Control Social:</w:t>
      </w:r>
      <w:r>
        <w:t xml:space="preserve">  Proscribir la integración de bases de datos de imágenes de identificación ciudadana con redes masivas de cámaras urbanas dotadas de software de inferencia afectiva y predictiva, garantizando la destrucción de los registros acumulados.</w:t>
      </w:r>
    </w:p>
    <w:p w14:paraId="00000041" w14:textId="77777777" w:rsidR="0037011F" w:rsidRDefault="003C37AA">
      <w:pPr>
        <w:numPr>
          <w:ilvl w:val="0"/>
          <w:numId w:val="1"/>
        </w:numPr>
      </w:pPr>
      <w:r>
        <w:rPr>
          <w:b/>
          <w:bCs/>
        </w:rPr>
        <w:t>Creación de Agencias Independientes de Bioseguridad Algorítmica e Integridad Psíquica:</w:t>
      </w:r>
      <w:r>
        <w:t xml:space="preserve">  Instituir organismos de supervisión dotados de potestad inspectora y sancionadora, encargados de certificar la neutralidad de los sistemas de IA, evaluar su impacto en la salud mental pública y garantizar el cumplimiento normativo antes de la comercialización de cualquier software </w:t>
      </w:r>
      <w:proofErr w:type="spellStart"/>
      <w:r>
        <w:t>afectivo.Es</w:t>
      </w:r>
      <w:proofErr w:type="spellEnd"/>
      <w:r>
        <w:t xml:space="preserve"> responsabilidad ineludible de los legisladores e instituciones públicas fijar límites normativos estrictos a las tecnologías de rastreo afectivo antes de que la velocidad del avance técnico neutralice definitivamente</w:t>
      </w:r>
      <w:r>
        <w:t xml:space="preserve"> la capacidad de contención del marco jurídico.</w:t>
      </w:r>
    </w:p>
    <w:p w14:paraId="00000042" w14:textId="77777777" w:rsidR="0037011F" w:rsidRDefault="0037011F"/>
    <w:sectPr w:rsidR="003701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EA7467-E382-4525-BCB5-438CBA988EF4}"/>
  </w:font>
  <w:font w:name="Cambria">
    <w:panose1 w:val="02040503050406030204"/>
    <w:charset w:val="00"/>
    <w:family w:val="roman"/>
    <w:pitch w:val="variable"/>
    <w:sig w:usb0="E00006FF" w:usb1="420024FF" w:usb2="02000000" w:usb3="00000000" w:csb0="0000019F" w:csb1="00000000"/>
    <w:embedRegular r:id="rId2" w:fontKey="{296FDB76-9DD5-42B3-8FA4-8ADB3AEF53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863"/>
    <w:multiLevelType w:val="multilevel"/>
    <w:tmpl w:val="72B4B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3C4620"/>
    <w:multiLevelType w:val="multilevel"/>
    <w:tmpl w:val="10C80C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6765E88"/>
    <w:multiLevelType w:val="multilevel"/>
    <w:tmpl w:val="A86A966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1155021"/>
    <w:multiLevelType w:val="multilevel"/>
    <w:tmpl w:val="9294B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FE28EB"/>
    <w:multiLevelType w:val="multilevel"/>
    <w:tmpl w:val="FA681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5842386">
    <w:abstractNumId w:val="1"/>
  </w:num>
  <w:num w:numId="2" w16cid:durableId="1471822723">
    <w:abstractNumId w:val="2"/>
  </w:num>
  <w:num w:numId="3" w16cid:durableId="871648893">
    <w:abstractNumId w:val="3"/>
  </w:num>
  <w:num w:numId="4" w16cid:durableId="715356598">
    <w:abstractNumId w:val="4"/>
  </w:num>
  <w:num w:numId="5" w16cid:durableId="5599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11F"/>
    <w:rsid w:val="000068C5"/>
    <w:rsid w:val="0037011F"/>
    <w:rsid w:val="003C37AA"/>
    <w:rsid w:val="007A0B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5E7D2F-DB7B-4A9F-A50F-B15907CE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3964</Words>
  <Characters>21805</Characters>
  <Application>Microsoft Office Word</Application>
  <DocSecurity>0</DocSecurity>
  <Lines>181</Lines>
  <Paragraphs>51</Paragraphs>
  <ScaleCrop>false</ScaleCrop>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Adolfo Rodrigo Yebra Reyes</dc:creator>
  <cp:lastModifiedBy>Rodrigo Yebra</cp:lastModifiedBy>
  <cp:revision>2</cp:revision>
  <dcterms:created xsi:type="dcterms:W3CDTF">2026-10-12T23:38:00Z</dcterms:created>
  <dcterms:modified xsi:type="dcterms:W3CDTF">2026-10-12T23:38:00Z</dcterms:modified>
</cp:coreProperties>
</file>