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1623 NE 73rd Ave</w:t>
      </w:r>
    </w:p>
    <w:p>
      <w:pPr>
        <w:pStyle w:val="Subtitle"/>
        <w:jc w:val="center"/>
      </w:pPr>
      <w:r>
        <w:t>Portland, Oregon 97213</w:t>
      </w:r>
    </w:p>
    <w:p>
      <w:pPr>
        <w:jc w:val="center"/>
      </w:pPr>
      <w:r>
        <w:rPr>
          <w:rFonts w:ascii="Arial" w:hAnsi="Arial"/>
          <w:b/>
          <w:color w:val="354C5B"/>
          <w:sz w:val="30"/>
        </w:rPr>
        <w:t>House History — Evidence-Based Working Edition</w:t>
      </w:r>
    </w:p>
    <w:p>
      <w:pPr>
        <w:jc w:val="center"/>
      </w:pPr>
      <w:r>
        <w:rPr>
          <w:rFonts w:ascii="Arial" w:hAnsi="Arial"/>
          <w:color w:val="5F686F"/>
          <w:sz w:val="22"/>
        </w:rPr>
        <w:t>Updated 17 August 2026</w:t>
      </w:r>
    </w:p>
    <w:tbl>
      <w:tblPr>
        <w:tblW w:type="auto" w:w="0"/>
        <w:jc w:val="center"/>
        <w:tblLayout w:type="fixed"/>
        <w:tblLook w:firstColumn="1" w:firstRow="1" w:lastColumn="0" w:lastRow="0" w:noHBand="0" w:noVBand="1" w:val="04A0"/>
        <w:tblCellMar>
          <w:top w:w="70" w:type="dxa"/>
          <w:left w:w="70" w:type="dxa"/>
          <w:bottom w:w="70" w:type="dxa"/>
          <w:right w:w="70" w:type="dxa"/>
        </w:tblCellMar>
      </w:tblPr>
      <w:tblGrid>
        <w:gridCol w:w="9504"/>
      </w:tblGrid>
      <w:tr>
        <w:trPr>
          <w:cantSplit/>
          <w:tblHeader w:val="true"/>
        </w:trPr>
        <w:tc>
          <w:tcPr>
            <w:tcW w:type="dxa" w:w="9994"/>
            <w:shd w:fill="EEF2F4"/>
          </w:tcPr>
          <w:p>
            <w:pPr>
              <w:spacing w:after="80"/>
            </w:pPr>
            <w:r/>
            <w:r>
              <w:rPr>
                <w:rFonts w:ascii="Arial" w:hAnsi="Arial"/>
                <w:b/>
                <w:color w:val="233442"/>
                <w:sz w:val="21"/>
              </w:rPr>
              <w:t>Purpose</w:t>
            </w:r>
          </w:p>
          <w:p>
            <w:pPr>
              <w:spacing w:after="0"/>
            </w:pPr>
            <w:r>
              <w:t>This edition combines the municipal permit evidence, the earlier house-history notes, current-owner and neighbor oral history, and the newly recovered Oregon newspaper clippings. Every historical assertion is paired with a source reference, and uncertain points are labeled rather than silently filled in.</w:t>
            </w:r>
          </w:p>
        </w:tc>
      </w:tr>
    </w:tbl>
    <w:p>
      <w:pPr>
        <w:spacing w:before="200"/>
      </w:pPr>
      <w:r>
        <w:rPr>
          <w:b/>
        </w:rPr>
        <w:t xml:space="preserve">Bottom line. </w:t>
      </w:r>
      <w:r>
        <w:t>The DeVeny connection to the property is documented at original construction in September 1912 and again repeatedly through 1969. Edgar A. DeVeny was unquestionably residing at 1623 NE 73rd at his death in 1969. Oral history strongly suggests Fern remained there alone until her death in 1986, after which the house likely became a rental before the December 1992 sale. The exact legal title chain, Fern’s final residence, and the identity of the 1986–1992 tenants remain the most important unresolved questions.</w:t>
      </w:r>
    </w:p>
    <w:p>
      <w:pPr>
        <w:pStyle w:val="SourceLine"/>
      </w:pPr>
      <w:r>
        <w:t>Sources: P1, P2–P6, N6–N7, O1–O2, W1, W4. Qualifications are detailed below.</w:t>
      </w:r>
    </w:p>
    <w:p>
      <w:r>
        <w:br w:type="page"/>
      </w:r>
    </w:p>
    <w:p>
      <w:pPr>
        <w:pStyle w:val="Heading1"/>
        <w:keepNext/>
      </w:pPr>
      <w:r>
        <w:t>How to Read This History</w:t>
      </w:r>
    </w:p>
    <w:p>
      <w:r>
        <w:t>This report uses a five-level certainty scale. The rating applies to the specific claim, not to the overall reliability of a source.</w:t>
      </w:r>
    </w:p>
    <w:tbl>
      <w:tblPr>
        <w:tblStyle w:val="TableGrid"/>
        <w:tblW w:type="auto" w:w="0"/>
        <w:jc w:val="center"/>
        <w:tblLook w:firstColumn="1" w:firstRow="1" w:lastColumn="0" w:lastRow="0" w:noHBand="0" w:noVBand="1" w:val="04A0"/>
        <w:tblCellMar>
          <w:top w:w="70" w:type="dxa"/>
          <w:left w:w="70" w:type="dxa"/>
          <w:bottom w:w="70" w:type="dxa"/>
          <w:right w:w="70" w:type="dxa"/>
        </w:tblCellMar>
      </w:tblPr>
      <w:tblGrid>
        <w:gridCol w:w="3331"/>
        <w:gridCol w:w="3331"/>
        <w:gridCol w:w="3331"/>
      </w:tblGrid>
      <w:tr>
        <w:trPr>
          <w:cantSplit/>
          <w:tblHeader w:val="true"/>
        </w:trPr>
        <w:tc>
          <w:tcPr>
            <w:tcW w:type="dxa" w:w="3331"/>
            <w:vAlign w:val="top"/>
            <w:shd w:fill="354C5B"/>
          </w:tcPr>
          <w:p>
            <w:pPr>
              <w:spacing w:after="0"/>
            </w:pPr>
            <w:r/>
            <w:r>
              <w:rPr>
                <w:rFonts w:ascii="Arial" w:hAnsi="Arial"/>
                <w:b/>
                <w:color w:val="FFFFFF"/>
                <w:sz w:val="18"/>
              </w:rPr>
              <w:t>Rating</w:t>
            </w:r>
          </w:p>
        </w:tc>
        <w:tc>
          <w:tcPr>
            <w:tcW w:type="dxa" w:w="3331"/>
            <w:vAlign w:val="top"/>
            <w:shd w:fill="354C5B"/>
          </w:tcPr>
          <w:p>
            <w:pPr>
              <w:spacing w:after="0"/>
            </w:pPr>
            <w:r/>
            <w:r>
              <w:rPr>
                <w:rFonts w:ascii="Arial" w:hAnsi="Arial"/>
                <w:b/>
                <w:color w:val="FFFFFF"/>
                <w:sz w:val="18"/>
              </w:rPr>
              <w:t>Meaning</w:t>
            </w:r>
          </w:p>
        </w:tc>
        <w:tc>
          <w:tcPr>
            <w:tcW w:type="dxa" w:w="3331"/>
            <w:vAlign w:val="top"/>
            <w:shd w:fill="354C5B"/>
          </w:tcPr>
          <w:p>
            <w:pPr>
              <w:spacing w:after="0"/>
            </w:pPr>
            <w:r/>
            <w:r>
              <w:rPr>
                <w:rFonts w:ascii="Arial" w:hAnsi="Arial"/>
                <w:b/>
                <w:color w:val="FFFFFF"/>
                <w:sz w:val="18"/>
              </w:rPr>
              <w:t>Typical basis</w:t>
            </w:r>
          </w:p>
        </w:tc>
      </w:tr>
      <w:tr>
        <w:trPr>
          <w:cantSplit/>
        </w:trPr>
        <w:tc>
          <w:tcPr>
            <w:tcW w:type="dxa" w:w="3331"/>
            <w:vAlign w:val="top"/>
          </w:tcPr>
          <w:p>
            <w:pPr>
              <w:spacing w:after="0"/>
            </w:pPr>
            <w:r/>
            <w:r>
              <w:rPr>
                <w:rFonts w:ascii="Arial" w:hAnsi="Arial"/>
                <w:b w:val="0"/>
                <w:sz w:val="17"/>
              </w:rPr>
              <w:t>5/5 — Confirmed</w:t>
            </w:r>
          </w:p>
        </w:tc>
        <w:tc>
          <w:tcPr>
            <w:tcW w:type="dxa" w:w="3331"/>
            <w:vAlign w:val="top"/>
          </w:tcPr>
          <w:p>
            <w:pPr>
              <w:spacing w:after="0"/>
            </w:pPr>
            <w:r/>
            <w:r>
              <w:rPr>
                <w:rFonts w:ascii="Arial" w:hAnsi="Arial"/>
                <w:b w:val="0"/>
                <w:sz w:val="17"/>
              </w:rPr>
              <w:t>Directly documented</w:t>
            </w:r>
          </w:p>
        </w:tc>
        <w:tc>
          <w:tcPr>
            <w:tcW w:type="dxa" w:w="3331"/>
            <w:vAlign w:val="top"/>
          </w:tcPr>
          <w:p>
            <w:pPr>
              <w:spacing w:after="0"/>
            </w:pPr>
            <w:r/>
            <w:r>
              <w:rPr>
                <w:rFonts w:ascii="Arial" w:hAnsi="Arial"/>
                <w:b w:val="0"/>
                <w:sz w:val="17"/>
              </w:rPr>
              <w:t>Primary municipal record, contemporary newspaper, deed/public record, or other authoritative record explicitly supports the claim.</w:t>
            </w:r>
          </w:p>
        </w:tc>
      </w:tr>
      <w:tr>
        <w:trPr>
          <w:cantSplit/>
        </w:trPr>
        <w:tc>
          <w:tcPr>
            <w:tcW w:type="dxa" w:w="3331"/>
            <w:vAlign w:val="top"/>
          </w:tcPr>
          <w:p>
            <w:pPr>
              <w:spacing w:after="0"/>
            </w:pPr>
            <w:r/>
            <w:r>
              <w:rPr>
                <w:rFonts w:ascii="Arial" w:hAnsi="Arial"/>
                <w:b w:val="0"/>
                <w:sz w:val="17"/>
              </w:rPr>
              <w:t>4/5 — Very strong</w:t>
            </w:r>
          </w:p>
        </w:tc>
        <w:tc>
          <w:tcPr>
            <w:tcW w:type="dxa" w:w="3331"/>
            <w:vAlign w:val="top"/>
          </w:tcPr>
          <w:p>
            <w:pPr>
              <w:spacing w:after="0"/>
            </w:pPr>
            <w:r/>
            <w:r>
              <w:rPr>
                <w:rFonts w:ascii="Arial" w:hAnsi="Arial"/>
                <w:b w:val="0"/>
                <w:sz w:val="17"/>
              </w:rPr>
              <w:t>Essentially established</w:t>
            </w:r>
          </w:p>
        </w:tc>
        <w:tc>
          <w:tcPr>
            <w:tcW w:type="dxa" w:w="3331"/>
            <w:vAlign w:val="top"/>
          </w:tcPr>
          <w:p>
            <w:pPr>
              <w:spacing w:after="0"/>
            </w:pPr>
            <w:r/>
            <w:r>
              <w:rPr>
                <w:rFonts w:ascii="Arial" w:hAnsi="Arial"/>
                <w:b w:val="0"/>
                <w:sz w:val="17"/>
              </w:rPr>
              <w:t>Multiple records agree, or a direct record requires only a small identity inference.</w:t>
            </w:r>
          </w:p>
        </w:tc>
      </w:tr>
      <w:tr>
        <w:trPr>
          <w:cantSplit/>
        </w:trPr>
        <w:tc>
          <w:tcPr>
            <w:tcW w:type="dxa" w:w="3331"/>
            <w:vAlign w:val="top"/>
          </w:tcPr>
          <w:p>
            <w:pPr>
              <w:spacing w:after="0"/>
            </w:pPr>
            <w:r/>
            <w:r>
              <w:rPr>
                <w:rFonts w:ascii="Arial" w:hAnsi="Arial"/>
                <w:b w:val="0"/>
                <w:sz w:val="17"/>
              </w:rPr>
              <w:t>3/5 — Probable</w:t>
            </w:r>
          </w:p>
        </w:tc>
        <w:tc>
          <w:tcPr>
            <w:tcW w:type="dxa" w:w="3331"/>
            <w:vAlign w:val="top"/>
          </w:tcPr>
          <w:p>
            <w:pPr>
              <w:spacing w:after="0"/>
            </w:pPr>
            <w:r/>
            <w:r>
              <w:rPr>
                <w:rFonts w:ascii="Arial" w:hAnsi="Arial"/>
                <w:b w:val="0"/>
                <w:sz w:val="17"/>
              </w:rPr>
              <w:t>Best-supported interpretation</w:t>
            </w:r>
          </w:p>
        </w:tc>
        <w:tc>
          <w:tcPr>
            <w:tcW w:type="dxa" w:w="3331"/>
            <w:vAlign w:val="top"/>
          </w:tcPr>
          <w:p>
            <w:pPr>
              <w:spacing w:after="0"/>
            </w:pPr>
            <w:r/>
            <w:r>
              <w:rPr>
                <w:rFonts w:ascii="Arial" w:hAnsi="Arial"/>
                <w:b w:val="0"/>
                <w:sz w:val="17"/>
              </w:rPr>
              <w:t>Evidence fits well, but a direct link is still missing.</w:t>
            </w:r>
          </w:p>
        </w:tc>
      </w:tr>
      <w:tr>
        <w:trPr>
          <w:cantSplit/>
        </w:trPr>
        <w:tc>
          <w:tcPr>
            <w:tcW w:type="dxa" w:w="3331"/>
            <w:vAlign w:val="top"/>
          </w:tcPr>
          <w:p>
            <w:pPr>
              <w:spacing w:after="0"/>
            </w:pPr>
            <w:r/>
            <w:r>
              <w:rPr>
                <w:rFonts w:ascii="Arial" w:hAnsi="Arial"/>
                <w:b w:val="0"/>
                <w:sz w:val="17"/>
              </w:rPr>
              <w:t>2/5 — Possible</w:t>
            </w:r>
          </w:p>
        </w:tc>
        <w:tc>
          <w:tcPr>
            <w:tcW w:type="dxa" w:w="3331"/>
            <w:vAlign w:val="top"/>
          </w:tcPr>
          <w:p>
            <w:pPr>
              <w:spacing w:after="0"/>
            </w:pPr>
            <w:r/>
            <w:r>
              <w:rPr>
                <w:rFonts w:ascii="Arial" w:hAnsi="Arial"/>
                <w:b w:val="0"/>
                <w:sz w:val="17"/>
              </w:rPr>
              <w:t>Working hypothesis</w:t>
            </w:r>
          </w:p>
        </w:tc>
        <w:tc>
          <w:tcPr>
            <w:tcW w:type="dxa" w:w="3331"/>
            <w:vAlign w:val="top"/>
          </w:tcPr>
          <w:p>
            <w:pPr>
              <w:spacing w:after="0"/>
            </w:pPr>
            <w:r/>
            <w:r>
              <w:rPr>
                <w:rFonts w:ascii="Arial" w:hAnsi="Arial"/>
                <w:b w:val="0"/>
                <w:sz w:val="17"/>
              </w:rPr>
              <w:t>Plausible, but significant documentary gaps remain.</w:t>
            </w:r>
          </w:p>
        </w:tc>
      </w:tr>
      <w:tr>
        <w:trPr>
          <w:cantSplit/>
        </w:trPr>
        <w:tc>
          <w:tcPr>
            <w:tcW w:type="dxa" w:w="3331"/>
            <w:vAlign w:val="top"/>
          </w:tcPr>
          <w:p>
            <w:pPr>
              <w:spacing w:after="0"/>
            </w:pPr>
            <w:r/>
            <w:r>
              <w:rPr>
                <w:rFonts w:ascii="Arial" w:hAnsi="Arial"/>
                <w:b w:val="0"/>
                <w:sz w:val="17"/>
              </w:rPr>
              <w:t>1/5 — Unverified lead</w:t>
            </w:r>
          </w:p>
        </w:tc>
        <w:tc>
          <w:tcPr>
            <w:tcW w:type="dxa" w:w="3331"/>
            <w:vAlign w:val="top"/>
          </w:tcPr>
          <w:p>
            <w:pPr>
              <w:spacing w:after="0"/>
            </w:pPr>
            <w:r/>
            <w:r>
              <w:rPr>
                <w:rFonts w:ascii="Arial" w:hAnsi="Arial"/>
                <w:b w:val="0"/>
                <w:sz w:val="17"/>
              </w:rPr>
              <w:t>Research clue only</w:t>
            </w:r>
          </w:p>
        </w:tc>
        <w:tc>
          <w:tcPr>
            <w:tcW w:type="dxa" w:w="3331"/>
            <w:vAlign w:val="top"/>
          </w:tcPr>
          <w:p>
            <w:pPr>
              <w:spacing w:after="0"/>
            </w:pPr>
            <w:r/>
            <w:r>
              <w:rPr>
                <w:rFonts w:ascii="Arial" w:hAnsi="Arial"/>
                <w:b w:val="0"/>
                <w:sz w:val="17"/>
              </w:rPr>
              <w:t>Recollection or secondary clue not yet corroborated.</w:t>
            </w:r>
          </w:p>
        </w:tc>
      </w:tr>
    </w:tbl>
    <w:p>
      <w:pPr>
        <w:pStyle w:val="Heading1"/>
        <w:keepNext/>
      </w:pPr>
      <w:r>
        <w:t>Executive Timeline</w:t>
      </w:r>
    </w:p>
    <w:tbl>
      <w:tblPr>
        <w:tblStyle w:val="TableGrid"/>
        <w:tblW w:type="auto" w:w="0"/>
        <w:jc w:val="center"/>
        <w:tblLook w:firstColumn="1" w:firstRow="1" w:lastColumn="0" w:lastRow="0" w:noHBand="0" w:noVBand="1" w:val="04A0"/>
        <w:tblCellMar>
          <w:top w:w="70" w:type="dxa"/>
          <w:left w:w="70" w:type="dxa"/>
          <w:bottom w:w="70" w:type="dxa"/>
          <w:right w:w="70" w:type="dxa"/>
        </w:tblCellMar>
      </w:tblPr>
      <w:tblGrid>
        <w:gridCol w:w="2498"/>
        <w:gridCol w:w="2498"/>
        <w:gridCol w:w="2498"/>
        <w:gridCol w:w="2498"/>
      </w:tblGrid>
      <w:tr>
        <w:trPr>
          <w:cantSplit/>
          <w:tblHeader w:val="true"/>
        </w:trPr>
        <w:tc>
          <w:tcPr>
            <w:tcW w:type="dxa" w:w="2498"/>
            <w:vAlign w:val="top"/>
            <w:shd w:fill="354C5B"/>
          </w:tcPr>
          <w:p>
            <w:pPr>
              <w:spacing w:after="0"/>
            </w:pPr>
            <w:r/>
            <w:r>
              <w:rPr>
                <w:rFonts w:ascii="Arial" w:hAnsi="Arial"/>
                <w:b/>
                <w:color w:val="FFFFFF"/>
                <w:sz w:val="17"/>
              </w:rPr>
              <w:t>Date</w:t>
            </w:r>
          </w:p>
        </w:tc>
        <w:tc>
          <w:tcPr>
            <w:tcW w:type="dxa" w:w="2498"/>
            <w:vAlign w:val="top"/>
            <w:shd w:fill="354C5B"/>
          </w:tcPr>
          <w:p>
            <w:pPr>
              <w:spacing w:after="0"/>
            </w:pPr>
            <w:r/>
            <w:r>
              <w:rPr>
                <w:rFonts w:ascii="Arial" w:hAnsi="Arial"/>
                <w:b/>
                <w:color w:val="FFFFFF"/>
                <w:sz w:val="17"/>
              </w:rPr>
              <w:t>What the evidence supports</w:t>
            </w:r>
          </w:p>
        </w:tc>
        <w:tc>
          <w:tcPr>
            <w:tcW w:type="dxa" w:w="2498"/>
            <w:vAlign w:val="top"/>
            <w:shd w:fill="354C5B"/>
          </w:tcPr>
          <w:p>
            <w:pPr>
              <w:spacing w:after="0"/>
            </w:pPr>
            <w:r/>
            <w:r>
              <w:rPr>
                <w:rFonts w:ascii="Arial" w:hAnsi="Arial"/>
                <w:b/>
                <w:color w:val="FFFFFF"/>
                <w:sz w:val="17"/>
              </w:rPr>
              <w:t>Certainty</w:t>
            </w:r>
          </w:p>
        </w:tc>
        <w:tc>
          <w:tcPr>
            <w:tcW w:type="dxa" w:w="2498"/>
            <w:vAlign w:val="top"/>
            <w:shd w:fill="354C5B"/>
          </w:tcPr>
          <w:p>
            <w:pPr>
              <w:spacing w:after="0"/>
            </w:pPr>
            <w:r/>
            <w:r>
              <w:rPr>
                <w:rFonts w:ascii="Arial" w:hAnsi="Arial"/>
                <w:b/>
                <w:color w:val="FFFFFF"/>
                <w:sz w:val="17"/>
              </w:rPr>
              <w:t>Source</w:t>
            </w:r>
          </w:p>
        </w:tc>
      </w:tr>
      <w:tr>
        <w:trPr>
          <w:cantSplit/>
        </w:trPr>
        <w:tc>
          <w:tcPr>
            <w:tcW w:type="dxa" w:w="2498"/>
            <w:vAlign w:val="top"/>
          </w:tcPr>
          <w:p>
            <w:pPr>
              <w:spacing w:after="0"/>
            </w:pPr>
            <w:r/>
            <w:r>
              <w:rPr>
                <w:rFonts w:ascii="Arial" w:hAnsi="Arial"/>
                <w:b/>
                <w:sz w:val="16"/>
              </w:rPr>
              <w:t>1907–1912</w:t>
            </w:r>
          </w:p>
        </w:tc>
        <w:tc>
          <w:tcPr>
            <w:tcW w:type="dxa" w:w="2498"/>
            <w:vAlign w:val="top"/>
          </w:tcPr>
          <w:p>
            <w:pPr>
              <w:spacing w:after="0"/>
            </w:pPr>
            <w:r/>
            <w:r>
              <w:rPr>
                <w:rFonts w:ascii="Arial" w:hAnsi="Arial"/>
                <w:b w:val="0"/>
                <w:sz w:val="16"/>
              </w:rPr>
              <w:t>Jonesmore/North Jonesmore was being actively marketed and built out as a residential district. This is neighborhood context, not proof of the builder of 1623.</w:t>
            </w:r>
          </w:p>
        </w:tc>
        <w:tc>
          <w:tcPr>
            <w:tcW w:type="dxa" w:w="2498"/>
            <w:vAlign w:val="top"/>
          </w:tcPr>
          <w:p>
            <w:pPr>
              <w:spacing w:after="0"/>
            </w:pPr>
            <w:r/>
            <w:r>
              <w:rPr>
                <w:rFonts w:ascii="Arial" w:hAnsi="Arial"/>
                <w:b w:val="0"/>
                <w:sz w:val="16"/>
              </w:rPr>
              <w:t>5/5 context</w:t>
            </w:r>
          </w:p>
        </w:tc>
        <w:tc>
          <w:tcPr>
            <w:tcW w:type="dxa" w:w="2498"/>
            <w:vAlign w:val="top"/>
          </w:tcPr>
          <w:p>
            <w:pPr>
              <w:spacing w:after="0"/>
            </w:pPr>
            <w:r/>
            <w:r>
              <w:rPr>
                <w:rFonts w:ascii="Arial" w:hAnsi="Arial"/>
                <w:b w:val="0"/>
                <w:sz w:val="16"/>
              </w:rPr>
              <w:t>W6, W7</w:t>
            </w:r>
          </w:p>
        </w:tc>
      </w:tr>
      <w:tr>
        <w:trPr>
          <w:cantSplit/>
        </w:trPr>
        <w:tc>
          <w:tcPr>
            <w:tcW w:type="dxa" w:w="2498"/>
            <w:vAlign w:val="top"/>
          </w:tcPr>
          <w:p>
            <w:pPr>
              <w:spacing w:after="0"/>
            </w:pPr>
            <w:r/>
            <w:r>
              <w:rPr>
                <w:rFonts w:ascii="Arial" w:hAnsi="Arial"/>
                <w:b/>
                <w:sz w:val="16"/>
              </w:rPr>
              <w:t>Sept. 1912</w:t>
            </w:r>
          </w:p>
        </w:tc>
        <w:tc>
          <w:tcPr>
            <w:tcW w:type="dxa" w:w="2498"/>
            <w:vAlign w:val="top"/>
          </w:tcPr>
          <w:p>
            <w:pPr>
              <w:spacing w:after="0"/>
            </w:pPr>
            <w:r/>
            <w:r>
              <w:rPr>
                <w:rFonts w:ascii="Arial" w:hAnsi="Arial"/>
                <w:b w:val="0"/>
                <w:sz w:val="16"/>
              </w:rPr>
              <w:t>City plumbing inspection describes a “1 story frame new” dwelling on Lots 27–28, Block 33, Jonesmore and names the owner as “Mr. J. Deveny.”</w:t>
            </w:r>
          </w:p>
        </w:tc>
        <w:tc>
          <w:tcPr>
            <w:tcW w:type="dxa" w:w="2498"/>
            <w:vAlign w:val="top"/>
          </w:tcPr>
          <w:p>
            <w:pPr>
              <w:spacing w:after="0"/>
            </w:pPr>
            <w:r/>
            <w:r>
              <w:rPr>
                <w:rFonts w:ascii="Arial" w:hAnsi="Arial"/>
                <w:b w:val="0"/>
                <w:sz w:val="16"/>
              </w:rPr>
              <w:t>5/5 facts; 4/5 initial</w:t>
            </w:r>
          </w:p>
        </w:tc>
        <w:tc>
          <w:tcPr>
            <w:tcW w:type="dxa" w:w="2498"/>
            <w:vAlign w:val="top"/>
          </w:tcPr>
          <w:p>
            <w:pPr>
              <w:spacing w:after="0"/>
            </w:pPr>
            <w:r/>
            <w:r>
              <w:rPr>
                <w:rFonts w:ascii="Arial" w:hAnsi="Arial"/>
                <w:b w:val="0"/>
                <w:sz w:val="16"/>
              </w:rPr>
              <w:t>P1</w:t>
            </w:r>
          </w:p>
        </w:tc>
      </w:tr>
      <w:tr>
        <w:trPr>
          <w:cantSplit/>
        </w:trPr>
        <w:tc>
          <w:tcPr>
            <w:tcW w:type="dxa" w:w="2498"/>
            <w:vAlign w:val="top"/>
          </w:tcPr>
          <w:p>
            <w:pPr>
              <w:spacing w:after="0"/>
            </w:pPr>
            <w:r/>
            <w:r>
              <w:rPr>
                <w:rFonts w:ascii="Arial" w:hAnsi="Arial"/>
                <w:b/>
                <w:sz w:val="16"/>
              </w:rPr>
              <w:t>Pre-1933</w:t>
            </w:r>
          </w:p>
        </w:tc>
        <w:tc>
          <w:tcPr>
            <w:tcW w:type="dxa" w:w="2498"/>
            <w:vAlign w:val="top"/>
          </w:tcPr>
          <w:p>
            <w:pPr>
              <w:spacing w:after="0"/>
            </w:pPr>
            <w:r/>
            <w:r>
              <w:rPr>
                <w:rFonts w:ascii="Arial" w:hAnsi="Arial"/>
                <w:b w:val="0"/>
                <w:sz w:val="16"/>
              </w:rPr>
              <w:t>The 1912 record appears to preserve the earlier street number “369.” The exact historic address format is not yet independently verified.</w:t>
            </w:r>
          </w:p>
        </w:tc>
        <w:tc>
          <w:tcPr>
            <w:tcW w:type="dxa" w:w="2498"/>
            <w:vAlign w:val="top"/>
          </w:tcPr>
          <w:p>
            <w:pPr>
              <w:spacing w:after="0"/>
            </w:pPr>
            <w:r/>
            <w:r>
              <w:rPr>
                <w:rFonts w:ascii="Arial" w:hAnsi="Arial"/>
                <w:b w:val="0"/>
                <w:sz w:val="16"/>
              </w:rPr>
              <w:t>3/5</w:t>
            </w:r>
          </w:p>
        </w:tc>
        <w:tc>
          <w:tcPr>
            <w:tcW w:type="dxa" w:w="2498"/>
            <w:vAlign w:val="top"/>
          </w:tcPr>
          <w:p>
            <w:pPr>
              <w:spacing w:after="0"/>
            </w:pPr>
            <w:r/>
            <w:r>
              <w:rPr>
                <w:rFonts w:ascii="Arial" w:hAnsi="Arial"/>
                <w:b w:val="0"/>
                <w:sz w:val="16"/>
              </w:rPr>
              <w:t>P1, W10, H1</w:t>
            </w:r>
          </w:p>
        </w:tc>
      </w:tr>
      <w:tr>
        <w:trPr>
          <w:cantSplit/>
        </w:trPr>
        <w:tc>
          <w:tcPr>
            <w:tcW w:type="dxa" w:w="2498"/>
            <w:vAlign w:val="top"/>
          </w:tcPr>
          <w:p>
            <w:pPr>
              <w:spacing w:after="0"/>
            </w:pPr>
            <w:r/>
            <w:r>
              <w:rPr>
                <w:rFonts w:ascii="Arial" w:hAnsi="Arial"/>
                <w:b/>
                <w:sz w:val="16"/>
              </w:rPr>
              <w:t>1939</w:t>
            </w:r>
          </w:p>
        </w:tc>
        <w:tc>
          <w:tcPr>
            <w:tcW w:type="dxa" w:w="2498"/>
            <w:vAlign w:val="top"/>
          </w:tcPr>
          <w:p>
            <w:pPr>
              <w:spacing w:after="0"/>
            </w:pPr>
            <w:r/>
            <w:r>
              <w:rPr>
                <w:rFonts w:ascii="Arial" w:hAnsi="Arial"/>
                <w:b w:val="0"/>
                <w:sz w:val="16"/>
              </w:rPr>
              <w:t>The house was converted from a cesspool to the city sanitary sewer under sewer permit 41973.</w:t>
            </w:r>
          </w:p>
        </w:tc>
        <w:tc>
          <w:tcPr>
            <w:tcW w:type="dxa" w:w="2498"/>
            <w:vAlign w:val="top"/>
          </w:tcPr>
          <w:p>
            <w:pPr>
              <w:spacing w:after="0"/>
            </w:pPr>
            <w:r/>
            <w:r>
              <w:rPr>
                <w:rFonts w:ascii="Arial" w:hAnsi="Arial"/>
                <w:b w:val="0"/>
                <w:sz w:val="16"/>
              </w:rPr>
              <w:t>5/5</w:t>
            </w:r>
          </w:p>
        </w:tc>
        <w:tc>
          <w:tcPr>
            <w:tcW w:type="dxa" w:w="2498"/>
            <w:vAlign w:val="top"/>
          </w:tcPr>
          <w:p>
            <w:pPr>
              <w:spacing w:after="0"/>
            </w:pPr>
            <w:r/>
            <w:r>
              <w:rPr>
                <w:rFonts w:ascii="Arial" w:hAnsi="Arial"/>
                <w:b w:val="0"/>
                <w:sz w:val="16"/>
              </w:rPr>
              <w:t>P2, P4, P5</w:t>
            </w:r>
          </w:p>
        </w:tc>
      </w:tr>
      <w:tr>
        <w:trPr>
          <w:cantSplit/>
        </w:trPr>
        <w:tc>
          <w:tcPr>
            <w:tcW w:type="dxa" w:w="2498"/>
            <w:vAlign w:val="top"/>
          </w:tcPr>
          <w:p>
            <w:pPr>
              <w:spacing w:after="0"/>
            </w:pPr>
            <w:r/>
            <w:r>
              <w:rPr>
                <w:rFonts w:ascii="Arial" w:hAnsi="Arial"/>
                <w:b/>
                <w:sz w:val="16"/>
              </w:rPr>
              <w:t>1940</w:t>
            </w:r>
          </w:p>
        </w:tc>
        <w:tc>
          <w:tcPr>
            <w:tcW w:type="dxa" w:w="2498"/>
            <w:vAlign w:val="top"/>
          </w:tcPr>
          <w:p>
            <w:pPr>
              <w:spacing w:after="0"/>
            </w:pPr>
            <w:r/>
            <w:r>
              <w:rPr>
                <w:rFonts w:ascii="Arial" w:hAnsi="Arial"/>
                <w:b w:val="0"/>
                <w:sz w:val="16"/>
              </w:rPr>
              <w:t>Earlier research notes report the 1940 census showing Edgar A. DeVeny, Fern, Irene, and Nola in the household. The original census page needs to be re-added before this is treated as a fully audited primary-source finding.</w:t>
            </w:r>
          </w:p>
        </w:tc>
        <w:tc>
          <w:tcPr>
            <w:tcW w:type="dxa" w:w="2498"/>
            <w:vAlign w:val="top"/>
          </w:tcPr>
          <w:p>
            <w:pPr>
              <w:spacing w:after="0"/>
            </w:pPr>
            <w:r/>
            <w:r>
              <w:rPr>
                <w:rFonts w:ascii="Arial" w:hAnsi="Arial"/>
                <w:b w:val="0"/>
                <w:sz w:val="16"/>
              </w:rPr>
              <w:t>3/5 pending census image</w:t>
            </w:r>
          </w:p>
        </w:tc>
        <w:tc>
          <w:tcPr>
            <w:tcW w:type="dxa" w:w="2498"/>
            <w:vAlign w:val="top"/>
          </w:tcPr>
          <w:p>
            <w:pPr>
              <w:spacing w:after="0"/>
            </w:pPr>
            <w:r/>
            <w:r>
              <w:rPr>
                <w:rFonts w:ascii="Arial" w:hAnsi="Arial"/>
                <w:b w:val="0"/>
                <w:sz w:val="16"/>
              </w:rPr>
              <w:t>C1, H1</w:t>
            </w:r>
          </w:p>
        </w:tc>
      </w:tr>
      <w:tr>
        <w:trPr>
          <w:cantSplit/>
        </w:trPr>
        <w:tc>
          <w:tcPr>
            <w:tcW w:type="dxa" w:w="2498"/>
            <w:vAlign w:val="top"/>
          </w:tcPr>
          <w:p>
            <w:pPr>
              <w:spacing w:after="0"/>
            </w:pPr>
            <w:r/>
            <w:r>
              <w:rPr>
                <w:rFonts w:ascii="Arial" w:hAnsi="Arial"/>
                <w:b/>
                <w:sz w:val="16"/>
              </w:rPr>
              <w:t>1945</w:t>
            </w:r>
          </w:p>
        </w:tc>
        <w:tc>
          <w:tcPr>
            <w:tcW w:type="dxa" w:w="2498"/>
            <w:vAlign w:val="top"/>
          </w:tcPr>
          <w:p>
            <w:pPr>
              <w:spacing w:after="0"/>
            </w:pPr>
            <w:r/>
            <w:r>
              <w:rPr>
                <w:rFonts w:ascii="Arial" w:hAnsi="Arial"/>
                <w:b w:val="0"/>
                <w:sz w:val="16"/>
              </w:rPr>
              <w:t>James Benjamin DeVeny’s funeral notice gives his home as 0214 SW Dakota Street, proving that by 1945 he was living elsewhere.</w:t>
            </w:r>
          </w:p>
        </w:tc>
        <w:tc>
          <w:tcPr>
            <w:tcW w:type="dxa" w:w="2498"/>
            <w:vAlign w:val="top"/>
          </w:tcPr>
          <w:p>
            <w:pPr>
              <w:spacing w:after="0"/>
            </w:pPr>
            <w:r/>
            <w:r>
              <w:rPr>
                <w:rFonts w:ascii="Arial" w:hAnsi="Arial"/>
                <w:b w:val="0"/>
                <w:sz w:val="16"/>
              </w:rPr>
              <w:t>5/5</w:t>
            </w:r>
          </w:p>
        </w:tc>
        <w:tc>
          <w:tcPr>
            <w:tcW w:type="dxa" w:w="2498"/>
            <w:vAlign w:val="top"/>
          </w:tcPr>
          <w:p>
            <w:pPr>
              <w:spacing w:after="0"/>
            </w:pPr>
            <w:r/>
            <w:r>
              <w:rPr>
                <w:rFonts w:ascii="Arial" w:hAnsi="Arial"/>
                <w:b w:val="0"/>
                <w:sz w:val="16"/>
              </w:rPr>
              <w:t>N8</w:t>
            </w:r>
          </w:p>
        </w:tc>
      </w:tr>
      <w:tr>
        <w:trPr>
          <w:cantSplit/>
        </w:trPr>
        <w:tc>
          <w:tcPr>
            <w:tcW w:type="dxa" w:w="2498"/>
            <w:vAlign w:val="top"/>
          </w:tcPr>
          <w:p>
            <w:pPr>
              <w:spacing w:after="0"/>
            </w:pPr>
            <w:r/>
            <w:r>
              <w:rPr>
                <w:rFonts w:ascii="Arial" w:hAnsi="Arial"/>
                <w:b/>
                <w:sz w:val="16"/>
              </w:rPr>
              <w:t>1947</w:t>
            </w:r>
          </w:p>
        </w:tc>
        <w:tc>
          <w:tcPr>
            <w:tcW w:type="dxa" w:w="2498"/>
            <w:vAlign w:val="top"/>
          </w:tcPr>
          <w:p>
            <w:pPr>
              <w:spacing w:after="0"/>
            </w:pPr>
            <w:r/>
            <w:r>
              <w:rPr>
                <w:rFonts w:ascii="Arial" w:hAnsi="Arial"/>
                <w:b w:val="0"/>
                <w:sz w:val="16"/>
              </w:rPr>
              <w:t>A plumbing inspection names “Mrs. Deveny” as owner and documents replacement of one water service. Her exact identity is not proven by the permit alone.</w:t>
            </w:r>
          </w:p>
        </w:tc>
        <w:tc>
          <w:tcPr>
            <w:tcW w:type="dxa" w:w="2498"/>
            <w:vAlign w:val="top"/>
          </w:tcPr>
          <w:p>
            <w:pPr>
              <w:spacing w:after="0"/>
            </w:pPr>
            <w:r/>
            <w:r>
              <w:rPr>
                <w:rFonts w:ascii="Arial" w:hAnsi="Arial"/>
                <w:b w:val="0"/>
                <w:sz w:val="16"/>
              </w:rPr>
              <w:t>5/5 permit fact</w:t>
            </w:r>
          </w:p>
        </w:tc>
        <w:tc>
          <w:tcPr>
            <w:tcW w:type="dxa" w:w="2498"/>
            <w:vAlign w:val="top"/>
          </w:tcPr>
          <w:p>
            <w:pPr>
              <w:spacing w:after="0"/>
            </w:pPr>
            <w:r/>
            <w:r>
              <w:rPr>
                <w:rFonts w:ascii="Arial" w:hAnsi="Arial"/>
                <w:b w:val="0"/>
                <w:sz w:val="16"/>
              </w:rPr>
              <w:t>P3</w:t>
            </w:r>
          </w:p>
        </w:tc>
      </w:tr>
      <w:tr>
        <w:trPr>
          <w:cantSplit/>
        </w:trPr>
        <w:tc>
          <w:tcPr>
            <w:tcW w:type="dxa" w:w="2498"/>
            <w:vAlign w:val="top"/>
          </w:tcPr>
          <w:p>
            <w:pPr>
              <w:spacing w:after="0"/>
            </w:pPr>
            <w:r/>
            <w:r>
              <w:rPr>
                <w:rFonts w:ascii="Arial" w:hAnsi="Arial"/>
                <w:b/>
                <w:sz w:val="16"/>
              </w:rPr>
              <w:t>1950</w:t>
            </w:r>
          </w:p>
        </w:tc>
        <w:tc>
          <w:tcPr>
            <w:tcW w:type="dxa" w:w="2498"/>
            <w:vAlign w:val="top"/>
          </w:tcPr>
          <w:p>
            <w:pPr>
              <w:spacing w:after="0"/>
            </w:pPr>
            <w:r/>
            <w:r>
              <w:rPr>
                <w:rFonts w:ascii="Arial" w:hAnsi="Arial"/>
                <w:b w:val="0"/>
                <w:sz w:val="16"/>
              </w:rPr>
              <w:t>Nola Diane DeVeny married Jack Howard Fick on December 31, 1950.</w:t>
            </w:r>
          </w:p>
        </w:tc>
        <w:tc>
          <w:tcPr>
            <w:tcW w:type="dxa" w:w="2498"/>
            <w:vAlign w:val="top"/>
          </w:tcPr>
          <w:p>
            <w:pPr>
              <w:spacing w:after="0"/>
            </w:pPr>
            <w:r/>
            <w:r>
              <w:rPr>
                <w:rFonts w:ascii="Arial" w:hAnsi="Arial"/>
                <w:b w:val="0"/>
                <w:sz w:val="16"/>
              </w:rPr>
              <w:t>5/5</w:t>
            </w:r>
          </w:p>
        </w:tc>
        <w:tc>
          <w:tcPr>
            <w:tcW w:type="dxa" w:w="2498"/>
            <w:vAlign w:val="top"/>
          </w:tcPr>
          <w:p>
            <w:pPr>
              <w:spacing w:after="0"/>
            </w:pPr>
            <w:r/>
            <w:r>
              <w:rPr>
                <w:rFonts w:ascii="Arial" w:hAnsi="Arial"/>
                <w:b w:val="0"/>
                <w:sz w:val="16"/>
              </w:rPr>
              <w:t>N1</w:t>
            </w:r>
          </w:p>
        </w:tc>
      </w:tr>
      <w:tr>
        <w:trPr>
          <w:cantSplit/>
        </w:trPr>
        <w:tc>
          <w:tcPr>
            <w:tcW w:type="dxa" w:w="2498"/>
            <w:vAlign w:val="top"/>
          </w:tcPr>
          <w:p>
            <w:pPr>
              <w:spacing w:after="0"/>
            </w:pPr>
            <w:r/>
            <w:r>
              <w:rPr>
                <w:rFonts w:ascii="Arial" w:hAnsi="Arial"/>
                <w:b/>
                <w:sz w:val="16"/>
              </w:rPr>
              <w:t>1952</w:t>
            </w:r>
          </w:p>
        </w:tc>
        <w:tc>
          <w:tcPr>
            <w:tcW w:type="dxa" w:w="2498"/>
            <w:vAlign w:val="top"/>
          </w:tcPr>
          <w:p>
            <w:pPr>
              <w:spacing w:after="0"/>
            </w:pPr>
            <w:r/>
            <w:r>
              <w:rPr>
                <w:rFonts w:ascii="Arial" w:hAnsi="Arial"/>
                <w:b w:val="0"/>
                <w:sz w:val="16"/>
              </w:rPr>
              <w:t>Nola Diane DeVeny married Lloyd Wallace Dowty on September 20, 1952, after the Fick marriage had ended.</w:t>
            </w:r>
          </w:p>
        </w:tc>
        <w:tc>
          <w:tcPr>
            <w:tcW w:type="dxa" w:w="2498"/>
            <w:vAlign w:val="top"/>
          </w:tcPr>
          <w:p>
            <w:pPr>
              <w:spacing w:after="0"/>
            </w:pPr>
            <w:r/>
            <w:r>
              <w:rPr>
                <w:rFonts w:ascii="Arial" w:hAnsi="Arial"/>
                <w:b w:val="0"/>
                <w:sz w:val="16"/>
              </w:rPr>
              <w:t>5/5 for marriage; end of first marriage not yet documented</w:t>
            </w:r>
          </w:p>
        </w:tc>
        <w:tc>
          <w:tcPr>
            <w:tcW w:type="dxa" w:w="2498"/>
            <w:vAlign w:val="top"/>
          </w:tcPr>
          <w:p>
            <w:pPr>
              <w:spacing w:after="0"/>
            </w:pPr>
            <w:r/>
            <w:r>
              <w:rPr>
                <w:rFonts w:ascii="Arial" w:hAnsi="Arial"/>
                <w:b w:val="0"/>
                <w:sz w:val="16"/>
              </w:rPr>
              <w:t>N2</w:t>
            </w:r>
          </w:p>
        </w:tc>
      </w:tr>
      <w:tr>
        <w:trPr>
          <w:cantSplit/>
        </w:trPr>
        <w:tc>
          <w:tcPr>
            <w:tcW w:type="dxa" w:w="2498"/>
            <w:vAlign w:val="top"/>
          </w:tcPr>
          <w:p>
            <w:pPr>
              <w:spacing w:after="0"/>
            </w:pPr>
            <w:r/>
            <w:r>
              <w:rPr>
                <w:rFonts w:ascii="Arial" w:hAnsi="Arial"/>
                <w:b/>
                <w:sz w:val="16"/>
              </w:rPr>
              <w:t>1954–1967</w:t>
            </w:r>
          </w:p>
        </w:tc>
        <w:tc>
          <w:tcPr>
            <w:tcW w:type="dxa" w:w="2498"/>
            <w:vAlign w:val="top"/>
          </w:tcPr>
          <w:p>
            <w:pPr>
              <w:spacing w:after="0"/>
            </w:pPr>
            <w:r/>
            <w:r>
              <w:rPr>
                <w:rFonts w:ascii="Arial" w:hAnsi="Arial"/>
                <w:b w:val="0"/>
                <w:sz w:val="16"/>
              </w:rPr>
              <w:t>Nola and Lloyd’s family grew: Bruce Edgar (1954), Diane Fern (1957), and Denise Genevieve (1967). The 1967 notice explicitly places the Dowty household in Milwaukie.</w:t>
            </w:r>
          </w:p>
        </w:tc>
        <w:tc>
          <w:tcPr>
            <w:tcW w:type="dxa" w:w="2498"/>
            <w:vAlign w:val="top"/>
          </w:tcPr>
          <w:p>
            <w:pPr>
              <w:spacing w:after="0"/>
            </w:pPr>
            <w:r/>
            <w:r>
              <w:rPr>
                <w:rFonts w:ascii="Arial" w:hAnsi="Arial"/>
                <w:b w:val="0"/>
                <w:sz w:val="16"/>
              </w:rPr>
              <w:t>5/5</w:t>
            </w:r>
          </w:p>
        </w:tc>
        <w:tc>
          <w:tcPr>
            <w:tcW w:type="dxa" w:w="2498"/>
            <w:vAlign w:val="top"/>
          </w:tcPr>
          <w:p>
            <w:pPr>
              <w:spacing w:after="0"/>
            </w:pPr>
            <w:r/>
            <w:r>
              <w:rPr>
                <w:rFonts w:ascii="Arial" w:hAnsi="Arial"/>
                <w:b w:val="0"/>
                <w:sz w:val="16"/>
              </w:rPr>
              <w:t>N3, N4, N5</w:t>
            </w:r>
          </w:p>
        </w:tc>
      </w:tr>
      <w:tr>
        <w:trPr>
          <w:cantSplit/>
        </w:trPr>
        <w:tc>
          <w:tcPr>
            <w:tcW w:type="dxa" w:w="2498"/>
            <w:vAlign w:val="top"/>
          </w:tcPr>
          <w:p>
            <w:pPr>
              <w:spacing w:after="0"/>
            </w:pPr>
            <w:r/>
            <w:r>
              <w:rPr>
                <w:rFonts w:ascii="Arial" w:hAnsi="Arial"/>
                <w:b/>
                <w:sz w:val="16"/>
              </w:rPr>
              <w:t>July 1966</w:t>
            </w:r>
          </w:p>
        </w:tc>
        <w:tc>
          <w:tcPr>
            <w:tcW w:type="dxa" w:w="2498"/>
            <w:vAlign w:val="top"/>
          </w:tcPr>
          <w:p>
            <w:pPr>
              <w:spacing w:after="0"/>
            </w:pPr>
            <w:r/>
            <w:r>
              <w:rPr>
                <w:rFonts w:ascii="Arial" w:hAnsi="Arial"/>
                <w:b w:val="0"/>
                <w:sz w:val="16"/>
              </w:rPr>
              <w:t>Oil-burner permit for “E. A. DeVeny” documents warm-air oil heat and a 275-gallon tank in the basement.</w:t>
            </w:r>
          </w:p>
        </w:tc>
        <w:tc>
          <w:tcPr>
            <w:tcW w:type="dxa" w:w="2498"/>
            <w:vAlign w:val="top"/>
          </w:tcPr>
          <w:p>
            <w:pPr>
              <w:spacing w:after="0"/>
            </w:pPr>
            <w:r/>
            <w:r>
              <w:rPr>
                <w:rFonts w:ascii="Arial" w:hAnsi="Arial"/>
                <w:b w:val="0"/>
                <w:sz w:val="16"/>
              </w:rPr>
              <w:t>5/5 permit; 4/5 E.A.=Edgar</w:t>
            </w:r>
          </w:p>
        </w:tc>
        <w:tc>
          <w:tcPr>
            <w:tcW w:type="dxa" w:w="2498"/>
            <w:vAlign w:val="top"/>
          </w:tcPr>
          <w:p>
            <w:pPr>
              <w:spacing w:after="0"/>
            </w:pPr>
            <w:r/>
            <w:r>
              <w:rPr>
                <w:rFonts w:ascii="Arial" w:hAnsi="Arial"/>
                <w:b w:val="0"/>
                <w:sz w:val="16"/>
              </w:rPr>
              <w:t>P6</w:t>
            </w:r>
          </w:p>
        </w:tc>
      </w:tr>
      <w:tr>
        <w:trPr>
          <w:cantSplit/>
        </w:trPr>
        <w:tc>
          <w:tcPr>
            <w:tcW w:type="dxa" w:w="2498"/>
            <w:vAlign w:val="top"/>
          </w:tcPr>
          <w:p>
            <w:pPr>
              <w:spacing w:after="0"/>
            </w:pPr>
            <w:r/>
            <w:r>
              <w:rPr>
                <w:rFonts w:ascii="Arial" w:hAnsi="Arial"/>
                <w:b/>
                <w:sz w:val="16"/>
              </w:rPr>
              <w:t>April 1969</w:t>
            </w:r>
          </w:p>
        </w:tc>
        <w:tc>
          <w:tcPr>
            <w:tcW w:type="dxa" w:w="2498"/>
            <w:vAlign w:val="top"/>
          </w:tcPr>
          <w:p>
            <w:pPr>
              <w:spacing w:after="0"/>
            </w:pPr>
            <w:r/>
            <w:r>
              <w:rPr>
                <w:rFonts w:ascii="Arial" w:hAnsi="Arial"/>
                <w:b w:val="0"/>
                <w:sz w:val="16"/>
              </w:rPr>
              <w:t>Edgar A. DeVeny died April 24. Contemporary funeral notices list his address as 1623 NE 73rd and identify Fern A. as his wife, with daughters Irene F. Taylor and Nola D. Dowty.</w:t>
            </w:r>
          </w:p>
        </w:tc>
        <w:tc>
          <w:tcPr>
            <w:tcW w:type="dxa" w:w="2498"/>
            <w:vAlign w:val="top"/>
          </w:tcPr>
          <w:p>
            <w:pPr>
              <w:spacing w:after="0"/>
            </w:pPr>
            <w:r/>
            <w:r>
              <w:rPr>
                <w:rFonts w:ascii="Arial" w:hAnsi="Arial"/>
                <w:b w:val="0"/>
                <w:sz w:val="16"/>
              </w:rPr>
              <w:t>5/5</w:t>
            </w:r>
          </w:p>
        </w:tc>
        <w:tc>
          <w:tcPr>
            <w:tcW w:type="dxa" w:w="2498"/>
            <w:vAlign w:val="top"/>
          </w:tcPr>
          <w:p>
            <w:pPr>
              <w:spacing w:after="0"/>
            </w:pPr>
            <w:r/>
            <w:r>
              <w:rPr>
                <w:rFonts w:ascii="Arial" w:hAnsi="Arial"/>
                <w:b w:val="0"/>
                <w:sz w:val="16"/>
              </w:rPr>
              <w:t>N6, N7, W3</w:t>
            </w:r>
          </w:p>
        </w:tc>
      </w:tr>
      <w:tr>
        <w:trPr>
          <w:cantSplit/>
        </w:trPr>
        <w:tc>
          <w:tcPr>
            <w:tcW w:type="dxa" w:w="2498"/>
            <w:vAlign w:val="top"/>
          </w:tcPr>
          <w:p>
            <w:pPr>
              <w:spacing w:after="0"/>
            </w:pPr>
            <w:r/>
            <w:r>
              <w:rPr>
                <w:rFonts w:ascii="Arial" w:hAnsi="Arial"/>
                <w:b/>
                <w:sz w:val="16"/>
              </w:rPr>
              <w:t>1969–1986?</w:t>
            </w:r>
          </w:p>
        </w:tc>
        <w:tc>
          <w:tcPr>
            <w:tcW w:type="dxa" w:w="2498"/>
            <w:vAlign w:val="top"/>
          </w:tcPr>
          <w:p>
            <w:pPr>
              <w:spacing w:after="0"/>
            </w:pPr>
            <w:r/>
            <w:r>
              <w:rPr>
                <w:rFonts w:ascii="Arial" w:hAnsi="Arial"/>
                <w:b w:val="0"/>
                <w:sz w:val="16"/>
              </w:rPr>
              <w:t>Neighbor oral history says Fern lived alone at the house and died there in 1986. This is a strong recollection but still lacks a late directory, obituary address, or death certificate tying Fern to 1623 at the endpoint.</w:t>
            </w:r>
          </w:p>
        </w:tc>
        <w:tc>
          <w:tcPr>
            <w:tcW w:type="dxa" w:w="2498"/>
            <w:vAlign w:val="top"/>
          </w:tcPr>
          <w:p>
            <w:pPr>
              <w:spacing w:after="0"/>
            </w:pPr>
            <w:r/>
            <w:r>
              <w:rPr>
                <w:rFonts w:ascii="Arial" w:hAnsi="Arial"/>
                <w:b w:val="0"/>
                <w:sz w:val="16"/>
              </w:rPr>
              <w:t>3/5</w:t>
            </w:r>
          </w:p>
        </w:tc>
        <w:tc>
          <w:tcPr>
            <w:tcW w:type="dxa" w:w="2498"/>
            <w:vAlign w:val="top"/>
          </w:tcPr>
          <w:p>
            <w:pPr>
              <w:spacing w:after="0"/>
            </w:pPr>
            <w:r/>
            <w:r>
              <w:rPr>
                <w:rFonts w:ascii="Arial" w:hAnsi="Arial"/>
                <w:b w:val="0"/>
                <w:sz w:val="16"/>
              </w:rPr>
              <w:t>O2, W4, H1</w:t>
            </w:r>
          </w:p>
        </w:tc>
      </w:tr>
      <w:tr>
        <w:trPr>
          <w:cantSplit/>
        </w:trPr>
        <w:tc>
          <w:tcPr>
            <w:tcW w:type="dxa" w:w="2498"/>
            <w:vAlign w:val="top"/>
          </w:tcPr>
          <w:p>
            <w:pPr>
              <w:spacing w:after="0"/>
            </w:pPr>
            <w:r/>
            <w:r>
              <w:rPr>
                <w:rFonts w:ascii="Arial" w:hAnsi="Arial"/>
                <w:b/>
                <w:sz w:val="16"/>
              </w:rPr>
              <w:t>July 18, 1986</w:t>
            </w:r>
          </w:p>
        </w:tc>
        <w:tc>
          <w:tcPr>
            <w:tcW w:type="dxa" w:w="2498"/>
            <w:vAlign w:val="top"/>
          </w:tcPr>
          <w:p>
            <w:pPr>
              <w:spacing w:after="0"/>
            </w:pPr>
            <w:r/>
            <w:r>
              <w:rPr>
                <w:rFonts w:ascii="Arial" w:hAnsi="Arial"/>
                <w:b w:val="0"/>
                <w:sz w:val="16"/>
              </w:rPr>
              <w:t>Fern A. Farmer DeVeny died.</w:t>
            </w:r>
          </w:p>
        </w:tc>
        <w:tc>
          <w:tcPr>
            <w:tcW w:type="dxa" w:w="2498"/>
            <w:vAlign w:val="top"/>
          </w:tcPr>
          <w:p>
            <w:pPr>
              <w:spacing w:after="0"/>
            </w:pPr>
            <w:r/>
            <w:r>
              <w:rPr>
                <w:rFonts w:ascii="Arial" w:hAnsi="Arial"/>
                <w:b w:val="0"/>
                <w:sz w:val="16"/>
              </w:rPr>
              <w:t>4/5</w:t>
            </w:r>
          </w:p>
        </w:tc>
        <w:tc>
          <w:tcPr>
            <w:tcW w:type="dxa" w:w="2498"/>
            <w:vAlign w:val="top"/>
          </w:tcPr>
          <w:p>
            <w:pPr>
              <w:spacing w:after="0"/>
            </w:pPr>
            <w:r/>
            <w:r>
              <w:rPr>
                <w:rFonts w:ascii="Arial" w:hAnsi="Arial"/>
                <w:b w:val="0"/>
                <w:sz w:val="16"/>
              </w:rPr>
              <w:t>W4</w:t>
            </w:r>
          </w:p>
        </w:tc>
      </w:tr>
      <w:tr>
        <w:trPr>
          <w:cantSplit/>
        </w:trPr>
        <w:tc>
          <w:tcPr>
            <w:tcW w:type="dxa" w:w="2498"/>
            <w:vAlign w:val="top"/>
          </w:tcPr>
          <w:p>
            <w:pPr>
              <w:spacing w:after="0"/>
            </w:pPr>
            <w:r/>
            <w:r>
              <w:rPr>
                <w:rFonts w:ascii="Arial" w:hAnsi="Arial"/>
                <w:b/>
                <w:sz w:val="16"/>
              </w:rPr>
              <w:t>1986–1992?</w:t>
            </w:r>
          </w:p>
        </w:tc>
        <w:tc>
          <w:tcPr>
            <w:tcW w:type="dxa" w:w="2498"/>
            <w:vAlign w:val="top"/>
          </w:tcPr>
          <w:p>
            <w:pPr>
              <w:spacing w:after="0"/>
            </w:pPr>
            <w:r/>
            <w:r>
              <w:rPr>
                <w:rFonts w:ascii="Arial" w:hAnsi="Arial"/>
                <w:b w:val="0"/>
                <w:sz w:val="16"/>
              </w:rPr>
              <w:t>The most plausible working scenario is that the house became a rental after Fern’s death. The current owner is certain it was tenant-occupied when the Irvin family acquired it, but the rental start date and tenants are unknown.</w:t>
            </w:r>
          </w:p>
        </w:tc>
        <w:tc>
          <w:tcPr>
            <w:tcW w:type="dxa" w:w="2498"/>
            <w:vAlign w:val="top"/>
          </w:tcPr>
          <w:p>
            <w:pPr>
              <w:spacing w:after="0"/>
            </w:pPr>
            <w:r/>
            <w:r>
              <w:rPr>
                <w:rFonts w:ascii="Arial" w:hAnsi="Arial"/>
                <w:b w:val="0"/>
                <w:sz w:val="16"/>
              </w:rPr>
              <w:t>3/5 overall; 4/5 at 1992 sale</w:t>
            </w:r>
          </w:p>
        </w:tc>
        <w:tc>
          <w:tcPr>
            <w:tcW w:type="dxa" w:w="2498"/>
            <w:vAlign w:val="top"/>
          </w:tcPr>
          <w:p>
            <w:pPr>
              <w:spacing w:after="0"/>
            </w:pPr>
            <w:r/>
            <w:r>
              <w:rPr>
                <w:rFonts w:ascii="Arial" w:hAnsi="Arial"/>
                <w:b w:val="0"/>
                <w:sz w:val="16"/>
              </w:rPr>
              <w:t>O1, O2, H1</w:t>
            </w:r>
          </w:p>
        </w:tc>
      </w:tr>
      <w:tr>
        <w:trPr>
          <w:cantSplit/>
        </w:trPr>
        <w:tc>
          <w:tcPr>
            <w:tcW w:type="dxa" w:w="2498"/>
            <w:vAlign w:val="top"/>
          </w:tcPr>
          <w:p>
            <w:pPr>
              <w:spacing w:after="0"/>
            </w:pPr>
            <w:r/>
            <w:r>
              <w:rPr>
                <w:rFonts w:ascii="Arial" w:hAnsi="Arial"/>
                <w:b/>
                <w:sz w:val="16"/>
              </w:rPr>
              <w:t>Dec. 1, 1992</w:t>
            </w:r>
          </w:p>
        </w:tc>
        <w:tc>
          <w:tcPr>
            <w:tcW w:type="dxa" w:w="2498"/>
            <w:vAlign w:val="top"/>
          </w:tcPr>
          <w:p>
            <w:pPr>
              <w:spacing w:after="0"/>
            </w:pPr>
            <w:r/>
            <w:r>
              <w:rPr>
                <w:rFonts w:ascii="Arial" w:hAnsi="Arial"/>
                <w:b w:val="0"/>
                <w:sz w:val="16"/>
              </w:rPr>
              <w:t>Public-record history reports a $64,950 sale. Earlier house-history research identifies the transaction as Nola D. Dowty → Wayne Irvin et al. Wayne Irvin is Christine M. Irvin’s father. The deed has not yet been retrieved, so the exact grantee list remains unverified.</w:t>
            </w:r>
          </w:p>
        </w:tc>
        <w:tc>
          <w:tcPr>
            <w:tcW w:type="dxa" w:w="2498"/>
            <w:vAlign w:val="top"/>
          </w:tcPr>
          <w:p>
            <w:pPr>
              <w:spacing w:after="0"/>
            </w:pPr>
            <w:r/>
            <w:r>
              <w:rPr>
                <w:rFonts w:ascii="Arial" w:hAnsi="Arial"/>
                <w:b w:val="0"/>
                <w:sz w:val="16"/>
              </w:rPr>
              <w:t>5/5 sale date/price; 3/5 parties pending deed</w:t>
            </w:r>
          </w:p>
        </w:tc>
        <w:tc>
          <w:tcPr>
            <w:tcW w:type="dxa" w:w="2498"/>
            <w:vAlign w:val="top"/>
          </w:tcPr>
          <w:p>
            <w:pPr>
              <w:spacing w:after="0"/>
            </w:pPr>
            <w:r/>
            <w:r>
              <w:rPr>
                <w:rFonts w:ascii="Arial" w:hAnsi="Arial"/>
                <w:b w:val="0"/>
                <w:sz w:val="16"/>
              </w:rPr>
              <w:t>W1, H1, O1</w:t>
            </w:r>
          </w:p>
        </w:tc>
      </w:tr>
      <w:tr>
        <w:trPr>
          <w:cantSplit/>
        </w:trPr>
        <w:tc>
          <w:tcPr>
            <w:tcW w:type="dxa" w:w="2498"/>
            <w:vAlign w:val="top"/>
          </w:tcPr>
          <w:p>
            <w:pPr>
              <w:spacing w:after="0"/>
            </w:pPr>
            <w:r/>
            <w:r>
              <w:rPr>
                <w:rFonts w:ascii="Arial" w:hAnsi="Arial"/>
                <w:b/>
                <w:sz w:val="16"/>
              </w:rPr>
              <w:t>1992–1999</w:t>
            </w:r>
          </w:p>
        </w:tc>
        <w:tc>
          <w:tcPr>
            <w:tcW w:type="dxa" w:w="2498"/>
            <w:vAlign w:val="top"/>
          </w:tcPr>
          <w:p>
            <w:pPr>
              <w:spacing w:after="0"/>
            </w:pPr>
            <w:r/>
            <w:r>
              <w:rPr>
                <w:rFonts w:ascii="Arial" w:hAnsi="Arial"/>
                <w:b w:val="0"/>
                <w:sz w:val="16"/>
              </w:rPr>
              <w:t>Christine M. Irvin did not operate the property as a rental after acquisition, according to the current owner’s firsthand knowledge.</w:t>
            </w:r>
          </w:p>
        </w:tc>
        <w:tc>
          <w:tcPr>
            <w:tcW w:type="dxa" w:w="2498"/>
            <w:vAlign w:val="top"/>
          </w:tcPr>
          <w:p>
            <w:pPr>
              <w:spacing w:after="0"/>
            </w:pPr>
            <w:r/>
            <w:r>
              <w:rPr>
                <w:rFonts w:ascii="Arial" w:hAnsi="Arial"/>
                <w:b w:val="0"/>
                <w:sz w:val="16"/>
              </w:rPr>
              <w:t>4/5 oral history</w:t>
            </w:r>
          </w:p>
        </w:tc>
        <w:tc>
          <w:tcPr>
            <w:tcW w:type="dxa" w:w="2498"/>
            <w:vAlign w:val="top"/>
          </w:tcPr>
          <w:p>
            <w:pPr>
              <w:spacing w:after="0"/>
            </w:pPr>
            <w:r/>
            <w:r>
              <w:rPr>
                <w:rFonts w:ascii="Arial" w:hAnsi="Arial"/>
                <w:b w:val="0"/>
                <w:sz w:val="16"/>
              </w:rPr>
              <w:t>O1</w:t>
            </w:r>
          </w:p>
        </w:tc>
      </w:tr>
      <w:tr>
        <w:trPr>
          <w:cantSplit/>
        </w:trPr>
        <w:tc>
          <w:tcPr>
            <w:tcW w:type="dxa" w:w="2498"/>
            <w:vAlign w:val="top"/>
          </w:tcPr>
          <w:p>
            <w:pPr>
              <w:spacing w:after="0"/>
            </w:pPr>
            <w:r/>
            <w:r>
              <w:rPr>
                <w:rFonts w:ascii="Arial" w:hAnsi="Arial"/>
                <w:b/>
                <w:sz w:val="16"/>
              </w:rPr>
              <w:t>May 27, 1999</w:t>
            </w:r>
          </w:p>
        </w:tc>
        <w:tc>
          <w:tcPr>
            <w:tcW w:type="dxa" w:w="2498"/>
            <w:vAlign w:val="top"/>
          </w:tcPr>
          <w:p>
            <w:pPr>
              <w:spacing w:after="0"/>
            </w:pPr>
            <w:r/>
            <w:r>
              <w:rPr>
                <w:rFonts w:ascii="Arial" w:hAnsi="Arial"/>
                <w:b w:val="0"/>
                <w:sz w:val="16"/>
              </w:rPr>
              <w:t>Public-record history reports a $127,000 sale. The current owner recalls purchasing from Christine M. Irvin in summer 1999; deed/closing records should reconcile the exact closing/recording date.</w:t>
            </w:r>
          </w:p>
        </w:tc>
        <w:tc>
          <w:tcPr>
            <w:tcW w:type="dxa" w:w="2498"/>
            <w:vAlign w:val="top"/>
          </w:tcPr>
          <w:p>
            <w:pPr>
              <w:spacing w:after="0"/>
            </w:pPr>
            <w:r/>
            <w:r>
              <w:rPr>
                <w:rFonts w:ascii="Arial" w:hAnsi="Arial"/>
                <w:b w:val="0"/>
                <w:sz w:val="16"/>
              </w:rPr>
              <w:t>5/5 sale event; 4/5 seller link</w:t>
            </w:r>
          </w:p>
        </w:tc>
        <w:tc>
          <w:tcPr>
            <w:tcW w:type="dxa" w:w="2498"/>
            <w:vAlign w:val="top"/>
          </w:tcPr>
          <w:p>
            <w:pPr>
              <w:spacing w:after="0"/>
            </w:pPr>
            <w:r/>
            <w:r>
              <w:rPr>
                <w:rFonts w:ascii="Arial" w:hAnsi="Arial"/>
                <w:b w:val="0"/>
                <w:sz w:val="16"/>
              </w:rPr>
              <w:t>W1, O1, H1</w:t>
            </w:r>
          </w:p>
        </w:tc>
      </w:tr>
    </w:tbl>
    <w:p>
      <w:pPr>
        <w:pStyle w:val="Heading1"/>
        <w:keepNext/>
      </w:pPr>
      <w:r>
        <w:t>The House and the DeVeny Family</w:t>
      </w:r>
    </w:p>
    <w:p>
      <w:pPr>
        <w:pStyle w:val="Heading2"/>
        <w:keepNext/>
      </w:pPr>
      <w:r>
        <w:t>1912: construction and the first DeVeny connection</w:t>
      </w:r>
    </w:p>
    <w:p>
      <w:r>
        <w:t>The strongest surviving evidence for the house’s origin is a City of Portland plumbing inspection begun September 2, 1912 and finalized September 13. The card describes the building as a “1 story frame new” dwelling, gives the legal location as Lots 27 and 28, Block 33, Jonesmore, and names the owner as “Mr. J. Deveny.” This establishes a DeVeny owner at essentially the moment of construction.</w:t>
      </w:r>
    </w:p>
    <w:p>
      <w:pPr>
        <w:pStyle w:val="EvidenceNote"/>
      </w:pPr>
      <w:r>
        <w:rPr>
          <w:b/>
        </w:rPr>
        <w:t xml:space="preserve">Source: </w:t>
      </w:r>
      <w:r>
        <w:t>P1 — City of Portland historic plumbing inspection, September 1912.</w:t>
      </w:r>
    </w:p>
    <w:p>
      <w:r>
        <w:t>The earlier house history identified this man as James Benjamin DeVeny (1871–1945) and his wife Sophia Charlotte Goodwin DeVeny. That identification remains probable rather than proved: the municipal card gives only “Mr. J. Deveny,” and no original deed or 1912 directory entry has yet been added that explicitly connects James Benjamin to this parcel.</w:t>
      </w:r>
    </w:p>
    <w:p>
      <w:pPr>
        <w:pStyle w:val="EvidenceNote"/>
      </w:pPr>
      <w:r>
        <w:rPr>
          <w:b/>
        </w:rPr>
        <w:t xml:space="preserve">Sources: </w:t>
      </w:r>
      <w:r>
        <w:t>P1; H1 — earlier house-history research; W12 — James Benjamin DeVeny genealogical memorial. Certainty: 3/5 for the specific James Benjamin identification.</w:t>
      </w:r>
    </w:p>
    <w:p>
      <w:r>
        <w:t>The property sat in Jonesmore/North Jonesmore during a period of active residential development. Contemporary Oregonian material shows Jonesmore lots being marketed with home-building arrangements in 1907 and reports substantial home construction and street improvements in North Jonesmore in 1912.</w:t>
      </w:r>
    </w:p>
    <w:p>
      <w:pPr>
        <w:pStyle w:val="EvidenceNote"/>
      </w:pPr>
      <w:r>
        <w:rPr>
          <w:b/>
        </w:rPr>
        <w:t xml:space="preserve">Sources: </w:t>
      </w:r>
      <w:r>
        <w:t>W6 — Sunday Oregonian, 29 Sept. 1907; W7 — Sunday Oregonian, 7 Apr. 1912. Context only.</w:t>
      </w:r>
    </w:p>
    <w:p>
      <w:pPr>
        <w:pStyle w:val="Heading2"/>
        <w:keepNext/>
      </w:pPr>
      <w:r>
        <w:t>1939–1947: sewer and water modernization</w:t>
      </w:r>
    </w:p>
    <w:p>
      <w:r>
        <w:t>By 1939 the house was an established “old frame” residence. A city plumbing permit records the change from a cesspool to the sanitary sewer, and the matching Public Works record identifies sewer permit 41973, the Jonesmore legal description, and the block between Halsey and Broadway. A companion field sketch shows the service geometry.</w:t>
      </w:r>
    </w:p>
    <w:p>
      <w:pPr>
        <w:pStyle w:val="EvidenceNote"/>
      </w:pPr>
      <w:r>
        <w:rPr>
          <w:b/>
        </w:rPr>
        <w:t xml:space="preserve">Sources: </w:t>
      </w:r>
      <w:r>
        <w:t>P2 — 1939 plumbing inspection; P4 — Public Works sewer permit 41973; P5 — sewer/service sketch. Certainty: 5/5.</w:t>
      </w:r>
    </w:p>
    <w:p>
      <w:r>
        <w:t>In February 1947, another plumbing inspection calls the property an “Old dwelling,” names “Mrs. Deveny” as owner, and records replacement of one water service. The permit does not specify whether this Mrs. DeVeny was Fern or another family member, so the identity should remain open.</w:t>
      </w:r>
    </w:p>
    <w:p>
      <w:pPr>
        <w:pStyle w:val="EvidenceNote"/>
      </w:pPr>
      <w:r>
        <w:rPr>
          <w:b/>
        </w:rPr>
        <w:t xml:space="preserve">Source: </w:t>
      </w:r>
      <w:r>
        <w:t>P3 — City plumbing inspection, permit 185319, 7 Feb. 1947, final inspection apparently 14 Feb. 1947. Certainty: 5/5 for permit facts; identity unresolved.</w:t>
      </w:r>
    </w:p>
    <w:p>
      <w:pPr>
        <w:pStyle w:val="Heading2"/>
        <w:keepNext/>
      </w:pPr>
      <w:r>
        <w:t>James Benjamin DeVeny had left the house by 1945</w:t>
      </w:r>
    </w:p>
    <w:p>
      <w:r>
        <w:t>A newly recovered 1945 funeral notice for James Benjamin DeVeny reports that he died at his home at 0214 SW Dakota Street. Whatever his exact role in the 1912 property, this establishes that James was living elsewhere by 1945.</w:t>
      </w:r>
    </w:p>
    <w:p>
      <w:pPr>
        <w:pStyle w:val="EvidenceNote"/>
      </w:pPr>
      <w:r>
        <w:rPr>
          <w:b/>
        </w:rPr>
        <w:t xml:space="preserve">Source: </w:t>
      </w:r>
      <w:r>
        <w:t>N8 — “James B. DeVeny” funeral notice, 1 Nov. 1945, owner-supplied newspaper clipping; publication title still to be verified. Certainty: 5/5 for the address stated in the clipping.</w:t>
      </w:r>
    </w:p>
    <w:p>
      <w:pPr>
        <w:pStyle w:val="Heading2"/>
        <w:keepNext/>
      </w:pPr>
      <w:r>
        <w:t>Edgar, Fern, Irene, and Nola</w:t>
      </w:r>
    </w:p>
    <w:p>
      <w:r>
        <w:t>The earlier research notes state that the 1940 U.S. Census lists Edgar Arthur DeVeny, wife Fern, and daughters Irene and Nola at the house. Because the original census page is not currently in the audited evidence set, this edition treats the household identification as probable rather than fully confirmed. Importantly, a census can support occupancy and owner/renter status, but it is not by itself a deed chain.</w:t>
      </w:r>
    </w:p>
    <w:p>
      <w:pPr>
        <w:pStyle w:val="EvidenceNote"/>
      </w:pPr>
      <w:r>
        <w:rPr>
          <w:b/>
        </w:rPr>
        <w:t xml:space="preserve">Sources: </w:t>
      </w:r>
      <w:r>
        <w:t>C1 — 1940 U.S. Census as cited in H1; H1 — earlier house-history notes. Certainty: 3/5 until the original census image is re-added and checked.</w:t>
      </w:r>
    </w:p>
    <w:p>
      <w:pPr>
        <w:pStyle w:val="Heading2"/>
        <w:keepNext/>
      </w:pPr>
      <w:r>
        <w:t>Nola’s marriages and household away from 1623</w:t>
      </w:r>
    </w:p>
    <w:p>
      <w:r>
        <w:t>The newly recovered newspaper clippings correct an older family-history error. Nola’s 1950 marriage was not to Lloyd Dowty. On December 31, 1950, Nola Diane DeVeny married Jack Howard Fick. The January 12, 1951 Oregon Journal caption names her parents as Mr. and Mrs. E. A. DeVeny.</w:t>
      </w:r>
    </w:p>
    <w:p>
      <w:pPr>
        <w:pStyle w:val="EvidenceNote"/>
      </w:pPr>
      <w:r>
        <w:rPr>
          <w:b/>
        </w:rPr>
        <w:t xml:space="preserve">Source: </w:t>
      </w:r>
      <w:r>
        <w:t>N1 — Oregon Journal, 12 Jan. 1951, p. 15, “Recent Bride—Mrs. Jack Howard Fick (Nola Diane DeVeny).” Certainty: 5/5.</w:t>
      </w:r>
    </w:p>
    <w:p>
      <w:r>
        <w:t>By September 1952 that first marriage had ended, and Nola married Lloyd Wallace Dowty. The Oregon Journal’s September 26 article identifies her as Nola Diane DeVeny, daughter of Mr. and Mrs. E. A. DeVeny, and Lloyd as the son of Mr. and Mrs. Willard D. Dowty. Because the article says the wedding occurred on the preceding Saturday, the marriage date is September 20, 1952. The manner and date by which the Fick marriage ended remain undocumented.</w:t>
      </w:r>
    </w:p>
    <w:p>
      <w:pPr>
        <w:pStyle w:val="EvidenceNote"/>
      </w:pPr>
      <w:r>
        <w:rPr>
          <w:b/>
        </w:rPr>
        <w:t xml:space="preserve">Source: </w:t>
      </w:r>
      <w:r>
        <w:t>N2 — Oregon Journal, 26 Sept. 1952, “Nola D. DeVeny Weds Saturday.” Certainty: 5/5 for the Dowty marriage; unresolved for the Fick marriage termination.</w:t>
      </w:r>
    </w:p>
    <w:p>
      <w:r>
        <w:t>The Dowtys’ first child, Bruce Edgar, was born October 2, 1954. Their daughter Diane Fern was born February 8, 1957. A 1967 notice records the birth of Denise Genevieve and explicitly describes Mr. and Mrs. Lloyd Wallace Dowty as “of Milwaukie.” This proves Nola had an established household away from 1623 by 1967.</w:t>
      </w:r>
    </w:p>
    <w:p>
      <w:pPr>
        <w:pStyle w:val="EvidenceNote"/>
      </w:pPr>
      <w:r>
        <w:rPr>
          <w:b/>
        </w:rPr>
        <w:t xml:space="preserve">Sources: </w:t>
      </w:r>
      <w:r>
        <w:t>N3 — Oregon Journal, 6 Oct. 1954; N4 — Oregon Journal, 15 Feb. 1957; N5 — Oregon Journal, 7 Jun. 1967, p. 18. Certainty: 5/5 for the events and 1967 Milwaukie residence.</w:t>
      </w:r>
    </w:p>
    <w:p>
      <w:pPr>
        <w:pStyle w:val="Heading2"/>
        <w:keepNext/>
      </w:pPr>
      <w:r>
        <w:t>1966–1969: Edgar at 1623 and the oil-heating era</w:t>
      </w:r>
    </w:p>
    <w:p>
      <w:r>
        <w:t>A July 1966 City of Portland Fire Prevention Division oil-burner permit at 1623 NE 73rd states “Install for E. A. DeVeny,” identifies warm-air heat, and shows a 275-gallon tank in the basement. The permit documents a basement tank; it does not establish the separate underground-storage-tank question that remains in the research files.</w:t>
      </w:r>
    </w:p>
    <w:p>
      <w:pPr>
        <w:pStyle w:val="EvidenceNote"/>
      </w:pPr>
      <w:r>
        <w:rPr>
          <w:b/>
        </w:rPr>
        <w:t xml:space="preserve">Source: </w:t>
      </w:r>
      <w:r>
        <w:t>P6 — City of Portland Fire Prevention Division oil-burner permit, July 1966. Certainty: 5/5 for permit facts; 4/5 that E. A. is Edgar A. DeVeny.</w:t>
      </w:r>
    </w:p>
    <w:p>
      <w:r>
        <w:t>Edgar’s 1969 funeral notices provide the clearest late-life address evidence. One notice reads “DEVENY — Edgar A., 1623 NE 73rd Ave.” Another identifies him at the same address as husband of Fern A. and father of Irene F. Taylor and Nola D. Dowty. A VA-derived cemetery transcription gives Edgar’s death date as April 24, 1969. These sources establish that 1623 was Edgar’s listed residence at death; they do not, by themselves, prove that he physically died inside the house.</w:t>
      </w:r>
    </w:p>
    <w:p>
      <w:pPr>
        <w:pStyle w:val="EvidenceNote"/>
      </w:pPr>
      <w:r>
        <w:rPr>
          <w:b/>
        </w:rPr>
        <w:t xml:space="preserve">Sources: </w:t>
      </w:r>
      <w:r>
        <w:t>N6 — Oregon Journal funeral notice, 26 Apr. 1969; N7 — The Oregonian funeral notice, 28 Apr. 1969; W3 — Willamette National Cemetery/VA-derived transcription. Certainty: 5/5 for residence at death and family identifications.</w:t>
      </w:r>
    </w:p>
    <w:p>
      <w:pPr>
        <w:pStyle w:val="Heading2"/>
        <w:keepNext/>
      </w:pPr>
      <w:r>
        <w:t>1969–1986: Fern alone — strong oral history, incomplete documentation</w:t>
      </w:r>
    </w:p>
    <w:p>
      <w:r>
        <w:t>The longstanding neighbor account says that after Edgar died, Fern remained in the house alone and that she died in the house in 1986. The earlier notes further record that the neighbor knew Fern and specifically identified the “old lady” remembered by the later owners as Fern rather than a different tenant. This is stronger than a generic neighborhood recollection, but it remains oral history until a late city directory, obituary address, death record, or deed independently places Fern at 1623 immediately before her death.</w:t>
      </w:r>
    </w:p>
    <w:p>
      <w:pPr>
        <w:pStyle w:val="EvidenceNote"/>
      </w:pPr>
      <w:r>
        <w:rPr>
          <w:b/>
        </w:rPr>
        <w:t xml:space="preserve">Sources: </w:t>
      </w:r>
      <w:r>
        <w:t>O2 — next-door neighbor recollection as preserved in H1; H1 — earlier house-history notes. Certainty: 3/5 for continuous residence through 1986 and death in the house.</w:t>
      </w:r>
    </w:p>
    <w:p>
      <w:r>
        <w:t>A secondary genealogical source gives Fern A. Farmer DeVeny’s death as July 18, 1986 and identifies Edgar as her spouse. This establishes the death date reasonably well, but not the place of death.</w:t>
      </w:r>
    </w:p>
    <w:p>
      <w:pPr>
        <w:pStyle w:val="EvidenceNote"/>
      </w:pPr>
      <w:r>
        <w:rPr>
          <w:b/>
        </w:rPr>
        <w:t xml:space="preserve">Source: </w:t>
      </w:r>
      <w:r>
        <w:t>W4 — Find a Grave, Fern A. Farmer DeVeny. Certainty: 4/5 for date/spouse; residence not established by this source.</w:t>
      </w:r>
    </w:p>
    <w:p>
      <w:pPr>
        <w:pStyle w:val="Heading2"/>
        <w:keepNext/>
      </w:pPr>
      <w:r>
        <w:t>1986–1992: likely rental period</w:t>
      </w:r>
    </w:p>
    <w:p>
      <w:r>
        <w:t>The best current reconstruction is that 1623 became a rental after Fern’s death. The neighbor account says Nola did not move back into the house with Lloyd and her family, while the current owner is certain that the property was tenant-occupied when the Irvin family acquired it in 1992. What is not yet known is whether the rental began immediately after Fern’s death, who the tenants were, or whether there was any short period of vacancy.</w:t>
      </w:r>
    </w:p>
    <w:p>
      <w:pPr>
        <w:pStyle w:val="EvidenceNote"/>
      </w:pPr>
      <w:r>
        <w:rPr>
          <w:b/>
        </w:rPr>
        <w:t xml:space="preserve">Sources: </w:t>
      </w:r>
      <w:r>
        <w:t>O1 — current-owner firsthand account; O2 — neighbor recollection; H1 — earlier house-history notes. Certainty: 3/5 for 1986–1992 as the full rental period; 4/5 that it was tenant-occupied at the 1992 acquisition.</w:t>
      </w:r>
    </w:p>
    <w:p>
      <w:pPr>
        <w:pStyle w:val="Heading2"/>
        <w:keepNext/>
      </w:pPr>
      <w:r>
        <w:t>1992: end of the DeVeny/Dowty era</w:t>
      </w:r>
    </w:p>
    <w:p>
      <w:r>
        <w:t>Public-record history reports a sale on December 1, 1992 for $64,950. The earlier house-history research identifies the parties as Nola D. Dowty, grantor, and Wayne Irvin et al., grantee. The current owner has clarified that Wayne Irvin was Christine M. Irvin’s father. That family relationship makes it plausible that Christine was included in the “et al.” grantee group, but only the recorded deed can establish the exact ownership form and every grantee.</w:t>
      </w:r>
    </w:p>
    <w:p>
      <w:pPr>
        <w:pStyle w:val="EvidenceNote"/>
      </w:pPr>
      <w:r>
        <w:rPr>
          <w:b/>
        </w:rPr>
        <w:t xml:space="preserve">Sources: </w:t>
      </w:r>
      <w:r>
        <w:t>W1 — Realtor.com public-record history, sale date and price; H1 — earlier house-history notes, party names; O1 — current-owner statement that Wayne Irvin was Christine’s father. Certainty: 5/5 for sale date/price; 3/5 for exact parties until deed is retrieved.</w:t>
      </w:r>
    </w:p>
    <w:p>
      <w:pPr>
        <w:pStyle w:val="Heading2"/>
        <w:keepNext/>
      </w:pPr>
      <w:r>
        <w:t>1992–1999 and the current ownership era</w:t>
      </w:r>
    </w:p>
    <w:p>
      <w:r>
        <w:t>According to the current owner’s firsthand knowledge, Christine did not continue using the property as a rental after the 1992 acquisition. Public-record history reports a later sale on May 27, 1999 for $127,000. The current owner recalls buying the property from Christine in summer 1999. The recorded deed or closing statement should be used to reconcile the public-record date with the remembered closing/possession timing.</w:t>
      </w:r>
    </w:p>
    <w:p>
      <w:pPr>
        <w:pStyle w:val="EvidenceNote"/>
      </w:pPr>
      <w:r>
        <w:rPr>
          <w:b/>
        </w:rPr>
        <w:t xml:space="preserve">Sources: </w:t>
      </w:r>
      <w:r>
        <w:t>O1 — current-owner firsthand account; W1 — Realtor.com public-record history; H1 — earlier notes identifying Christine as seller. Certainty: 5/5 for the recorded sale event/price; 4/5 for seller identity and exact timing pending deed.</w:t>
      </w:r>
    </w:p>
    <w:p>
      <w:pPr>
        <w:pStyle w:val="Heading1"/>
        <w:keepNext/>
      </w:pPr>
      <w:r>
        <w:t>Physical History of the House</w:t>
      </w:r>
    </w:p>
    <w:tbl>
      <w:tblPr>
        <w:tblStyle w:val="TableGrid"/>
        <w:tblW w:type="auto" w:w="0"/>
        <w:jc w:val="center"/>
        <w:tblLook w:firstColumn="1" w:firstRow="1" w:lastColumn="0" w:lastRow="0" w:noHBand="0" w:noVBand="1" w:val="04A0"/>
        <w:tblCellMar>
          <w:top w:w="70" w:type="dxa"/>
          <w:left w:w="70" w:type="dxa"/>
          <w:bottom w:w="70" w:type="dxa"/>
          <w:right w:w="70" w:type="dxa"/>
        </w:tblCellMar>
      </w:tblPr>
      <w:tblGrid>
        <w:gridCol w:w="2498"/>
        <w:gridCol w:w="2498"/>
        <w:gridCol w:w="2498"/>
        <w:gridCol w:w="2498"/>
      </w:tblGrid>
      <w:tr>
        <w:trPr>
          <w:cantSplit/>
          <w:tblHeader w:val="true"/>
        </w:trPr>
        <w:tc>
          <w:tcPr>
            <w:tcW w:type="dxa" w:w="2498"/>
            <w:vAlign w:val="top"/>
            <w:shd w:fill="354C5B"/>
          </w:tcPr>
          <w:p>
            <w:pPr>
              <w:spacing w:after="0"/>
            </w:pPr>
            <w:r/>
            <w:r>
              <w:rPr>
                <w:rFonts w:ascii="Arial" w:hAnsi="Arial"/>
                <w:b/>
                <w:color w:val="FFFFFF"/>
                <w:sz w:val="17"/>
              </w:rPr>
              <w:t>Feature</w:t>
            </w:r>
          </w:p>
        </w:tc>
        <w:tc>
          <w:tcPr>
            <w:tcW w:type="dxa" w:w="2498"/>
            <w:vAlign w:val="top"/>
            <w:shd w:fill="354C5B"/>
          </w:tcPr>
          <w:p>
            <w:pPr>
              <w:spacing w:after="0"/>
            </w:pPr>
            <w:r/>
            <w:r>
              <w:rPr>
                <w:rFonts w:ascii="Arial" w:hAnsi="Arial"/>
                <w:b/>
                <w:color w:val="FFFFFF"/>
                <w:sz w:val="17"/>
              </w:rPr>
              <w:t>Evidence</w:t>
            </w:r>
          </w:p>
        </w:tc>
        <w:tc>
          <w:tcPr>
            <w:tcW w:type="dxa" w:w="2498"/>
            <w:vAlign w:val="top"/>
            <w:shd w:fill="354C5B"/>
          </w:tcPr>
          <w:p>
            <w:pPr>
              <w:spacing w:after="0"/>
            </w:pPr>
            <w:r/>
            <w:r>
              <w:rPr>
                <w:rFonts w:ascii="Arial" w:hAnsi="Arial"/>
                <w:b/>
                <w:color w:val="FFFFFF"/>
                <w:sz w:val="17"/>
              </w:rPr>
              <w:t>Certainty</w:t>
            </w:r>
          </w:p>
        </w:tc>
        <w:tc>
          <w:tcPr>
            <w:tcW w:type="dxa" w:w="2498"/>
            <w:vAlign w:val="top"/>
            <w:shd w:fill="354C5B"/>
          </w:tcPr>
          <w:p>
            <w:pPr>
              <w:spacing w:after="0"/>
            </w:pPr>
            <w:r/>
            <w:r>
              <w:rPr>
                <w:rFonts w:ascii="Arial" w:hAnsi="Arial"/>
                <w:b/>
                <w:color w:val="FFFFFF"/>
                <w:sz w:val="17"/>
              </w:rPr>
              <w:t>Source</w:t>
            </w:r>
          </w:p>
        </w:tc>
      </w:tr>
      <w:tr>
        <w:trPr>
          <w:cantSplit/>
        </w:trPr>
        <w:tc>
          <w:tcPr>
            <w:tcW w:type="dxa" w:w="2498"/>
            <w:vAlign w:val="top"/>
          </w:tcPr>
          <w:p>
            <w:pPr>
              <w:spacing w:after="0"/>
            </w:pPr>
            <w:r/>
            <w:r>
              <w:rPr>
                <w:rFonts w:ascii="Arial" w:hAnsi="Arial"/>
                <w:b w:val="0"/>
                <w:sz w:val="16"/>
              </w:rPr>
              <w:t>Original form</w:t>
            </w:r>
          </w:p>
        </w:tc>
        <w:tc>
          <w:tcPr>
            <w:tcW w:type="dxa" w:w="2498"/>
            <w:vAlign w:val="top"/>
          </w:tcPr>
          <w:p>
            <w:pPr>
              <w:spacing w:after="0"/>
            </w:pPr>
            <w:r/>
            <w:r>
              <w:rPr>
                <w:rFonts w:ascii="Arial" w:hAnsi="Arial"/>
                <w:b w:val="0"/>
                <w:sz w:val="16"/>
              </w:rPr>
              <w:t>One-story frame dwelling; 1912 card explicitly calls it “new.”</w:t>
            </w:r>
          </w:p>
        </w:tc>
        <w:tc>
          <w:tcPr>
            <w:tcW w:type="dxa" w:w="2498"/>
            <w:vAlign w:val="top"/>
          </w:tcPr>
          <w:p>
            <w:pPr>
              <w:spacing w:after="0"/>
            </w:pPr>
            <w:r/>
            <w:r>
              <w:rPr>
                <w:rFonts w:ascii="Arial" w:hAnsi="Arial"/>
                <w:b w:val="0"/>
                <w:sz w:val="16"/>
              </w:rPr>
              <w:t>5/5</w:t>
            </w:r>
          </w:p>
        </w:tc>
        <w:tc>
          <w:tcPr>
            <w:tcW w:type="dxa" w:w="2498"/>
            <w:vAlign w:val="top"/>
          </w:tcPr>
          <w:p>
            <w:pPr>
              <w:spacing w:after="0"/>
            </w:pPr>
            <w:r/>
            <w:r>
              <w:rPr>
                <w:rFonts w:ascii="Arial" w:hAnsi="Arial"/>
                <w:b w:val="0"/>
                <w:sz w:val="16"/>
              </w:rPr>
              <w:t>P1</w:t>
            </w:r>
          </w:p>
        </w:tc>
      </w:tr>
      <w:tr>
        <w:trPr>
          <w:cantSplit/>
        </w:trPr>
        <w:tc>
          <w:tcPr>
            <w:tcW w:type="dxa" w:w="2498"/>
            <w:vAlign w:val="top"/>
          </w:tcPr>
          <w:p>
            <w:pPr>
              <w:spacing w:after="0"/>
            </w:pPr>
            <w:r/>
            <w:r>
              <w:rPr>
                <w:rFonts w:ascii="Arial" w:hAnsi="Arial"/>
                <w:b w:val="0"/>
                <w:sz w:val="16"/>
              </w:rPr>
              <w:t>Legal description</w:t>
            </w:r>
          </w:p>
        </w:tc>
        <w:tc>
          <w:tcPr>
            <w:tcW w:type="dxa" w:w="2498"/>
            <w:vAlign w:val="top"/>
          </w:tcPr>
          <w:p>
            <w:pPr>
              <w:spacing w:after="0"/>
            </w:pPr>
            <w:r/>
            <w:r>
              <w:rPr>
                <w:rFonts w:ascii="Arial" w:hAnsi="Arial"/>
                <w:b w:val="0"/>
                <w:sz w:val="16"/>
              </w:rPr>
              <w:t>Lots 27 and 28, Block 33, Jonesmore.</w:t>
            </w:r>
          </w:p>
        </w:tc>
        <w:tc>
          <w:tcPr>
            <w:tcW w:type="dxa" w:w="2498"/>
            <w:vAlign w:val="top"/>
          </w:tcPr>
          <w:p>
            <w:pPr>
              <w:spacing w:after="0"/>
            </w:pPr>
            <w:r/>
            <w:r>
              <w:rPr>
                <w:rFonts w:ascii="Arial" w:hAnsi="Arial"/>
                <w:b w:val="0"/>
                <w:sz w:val="16"/>
              </w:rPr>
              <w:t>5/5</w:t>
            </w:r>
          </w:p>
        </w:tc>
        <w:tc>
          <w:tcPr>
            <w:tcW w:type="dxa" w:w="2498"/>
            <w:vAlign w:val="top"/>
          </w:tcPr>
          <w:p>
            <w:pPr>
              <w:spacing w:after="0"/>
            </w:pPr>
            <w:r/>
            <w:r>
              <w:rPr>
                <w:rFonts w:ascii="Arial" w:hAnsi="Arial"/>
                <w:b w:val="0"/>
                <w:sz w:val="16"/>
              </w:rPr>
              <w:t>P1, P4</w:t>
            </w:r>
          </w:p>
        </w:tc>
      </w:tr>
      <w:tr>
        <w:trPr>
          <w:cantSplit/>
        </w:trPr>
        <w:tc>
          <w:tcPr>
            <w:tcW w:type="dxa" w:w="2498"/>
            <w:vAlign w:val="top"/>
          </w:tcPr>
          <w:p>
            <w:pPr>
              <w:spacing w:after="0"/>
            </w:pPr>
            <w:r/>
            <w:r>
              <w:rPr>
                <w:rFonts w:ascii="Arial" w:hAnsi="Arial"/>
                <w:b w:val="0"/>
                <w:sz w:val="16"/>
              </w:rPr>
              <w:t>Pre-1933 address</w:t>
            </w:r>
          </w:p>
        </w:tc>
        <w:tc>
          <w:tcPr>
            <w:tcW w:type="dxa" w:w="2498"/>
            <w:vAlign w:val="top"/>
          </w:tcPr>
          <w:p>
            <w:pPr>
              <w:spacing w:after="0"/>
            </w:pPr>
            <w:r/>
            <w:r>
              <w:rPr>
                <w:rFonts w:ascii="Arial" w:hAnsi="Arial"/>
                <w:b w:val="0"/>
                <w:sz w:val="16"/>
              </w:rPr>
              <w:t>Record appears to show “369”; earlier notes give 369 E 73rd Ave N. Exact historic address format still needs official renumbering-directory verification.</w:t>
            </w:r>
          </w:p>
        </w:tc>
        <w:tc>
          <w:tcPr>
            <w:tcW w:type="dxa" w:w="2498"/>
            <w:vAlign w:val="top"/>
          </w:tcPr>
          <w:p>
            <w:pPr>
              <w:spacing w:after="0"/>
            </w:pPr>
            <w:r/>
            <w:r>
              <w:rPr>
                <w:rFonts w:ascii="Arial" w:hAnsi="Arial"/>
                <w:b w:val="0"/>
                <w:sz w:val="16"/>
              </w:rPr>
              <w:t>3/5</w:t>
            </w:r>
          </w:p>
        </w:tc>
        <w:tc>
          <w:tcPr>
            <w:tcW w:type="dxa" w:w="2498"/>
            <w:vAlign w:val="top"/>
          </w:tcPr>
          <w:p>
            <w:pPr>
              <w:spacing w:after="0"/>
            </w:pPr>
            <w:r/>
            <w:r>
              <w:rPr>
                <w:rFonts w:ascii="Arial" w:hAnsi="Arial"/>
                <w:b w:val="0"/>
                <w:sz w:val="16"/>
              </w:rPr>
              <w:t>P1, H1, W10</w:t>
            </w:r>
          </w:p>
        </w:tc>
      </w:tr>
      <w:tr>
        <w:trPr>
          <w:cantSplit/>
        </w:trPr>
        <w:tc>
          <w:tcPr>
            <w:tcW w:type="dxa" w:w="2498"/>
            <w:vAlign w:val="top"/>
          </w:tcPr>
          <w:p>
            <w:pPr>
              <w:spacing w:after="0"/>
            </w:pPr>
            <w:r/>
            <w:r>
              <w:rPr>
                <w:rFonts w:ascii="Arial" w:hAnsi="Arial"/>
                <w:b w:val="0"/>
                <w:sz w:val="16"/>
              </w:rPr>
              <w:t>Original plumbing</w:t>
            </w:r>
          </w:p>
        </w:tc>
        <w:tc>
          <w:tcPr>
            <w:tcW w:type="dxa" w:w="2498"/>
            <w:vAlign w:val="top"/>
          </w:tcPr>
          <w:p>
            <w:pPr>
              <w:spacing w:after="0"/>
            </w:pPr>
            <w:r/>
            <w:r>
              <w:rPr>
                <w:rFonts w:ascii="Arial" w:hAnsi="Arial"/>
                <w:b w:val="0"/>
                <w:sz w:val="16"/>
              </w:rPr>
              <w:t>1912 card documents plumbing fixtures and stack/drain information; some handwriting remains difficult to interpret.</w:t>
            </w:r>
          </w:p>
        </w:tc>
        <w:tc>
          <w:tcPr>
            <w:tcW w:type="dxa" w:w="2498"/>
            <w:vAlign w:val="top"/>
          </w:tcPr>
          <w:p>
            <w:pPr>
              <w:spacing w:after="0"/>
            </w:pPr>
            <w:r/>
            <w:r>
              <w:rPr>
                <w:rFonts w:ascii="Arial" w:hAnsi="Arial"/>
                <w:b w:val="0"/>
                <w:sz w:val="16"/>
              </w:rPr>
              <w:t>4/5</w:t>
            </w:r>
          </w:p>
        </w:tc>
        <w:tc>
          <w:tcPr>
            <w:tcW w:type="dxa" w:w="2498"/>
            <w:vAlign w:val="top"/>
          </w:tcPr>
          <w:p>
            <w:pPr>
              <w:spacing w:after="0"/>
            </w:pPr>
            <w:r/>
            <w:r>
              <w:rPr>
                <w:rFonts w:ascii="Arial" w:hAnsi="Arial"/>
                <w:b w:val="0"/>
                <w:sz w:val="16"/>
              </w:rPr>
              <w:t>P1</w:t>
            </w:r>
          </w:p>
        </w:tc>
      </w:tr>
      <w:tr>
        <w:trPr>
          <w:cantSplit/>
        </w:trPr>
        <w:tc>
          <w:tcPr>
            <w:tcW w:type="dxa" w:w="2498"/>
            <w:vAlign w:val="top"/>
          </w:tcPr>
          <w:p>
            <w:pPr>
              <w:spacing w:after="0"/>
            </w:pPr>
            <w:r/>
            <w:r>
              <w:rPr>
                <w:rFonts w:ascii="Arial" w:hAnsi="Arial"/>
                <w:b w:val="0"/>
                <w:sz w:val="16"/>
              </w:rPr>
              <w:t>Waste disposal</w:t>
            </w:r>
          </w:p>
        </w:tc>
        <w:tc>
          <w:tcPr>
            <w:tcW w:type="dxa" w:w="2498"/>
            <w:vAlign w:val="top"/>
          </w:tcPr>
          <w:p>
            <w:pPr>
              <w:spacing w:after="0"/>
            </w:pPr>
            <w:r/>
            <w:r>
              <w:rPr>
                <w:rFonts w:ascii="Arial" w:hAnsi="Arial"/>
                <w:b w:val="0"/>
                <w:sz w:val="16"/>
              </w:rPr>
              <w:t>House used a cesspool before connection to city sewer.</w:t>
            </w:r>
          </w:p>
        </w:tc>
        <w:tc>
          <w:tcPr>
            <w:tcW w:type="dxa" w:w="2498"/>
            <w:vAlign w:val="top"/>
          </w:tcPr>
          <w:p>
            <w:pPr>
              <w:spacing w:after="0"/>
            </w:pPr>
            <w:r/>
            <w:r>
              <w:rPr>
                <w:rFonts w:ascii="Arial" w:hAnsi="Arial"/>
                <w:b w:val="0"/>
                <w:sz w:val="16"/>
              </w:rPr>
              <w:t>5/5</w:t>
            </w:r>
          </w:p>
        </w:tc>
        <w:tc>
          <w:tcPr>
            <w:tcW w:type="dxa" w:w="2498"/>
            <w:vAlign w:val="top"/>
          </w:tcPr>
          <w:p>
            <w:pPr>
              <w:spacing w:after="0"/>
            </w:pPr>
            <w:r/>
            <w:r>
              <w:rPr>
                <w:rFonts w:ascii="Arial" w:hAnsi="Arial"/>
                <w:b w:val="0"/>
                <w:sz w:val="16"/>
              </w:rPr>
              <w:t>P2</w:t>
            </w:r>
          </w:p>
        </w:tc>
      </w:tr>
      <w:tr>
        <w:trPr>
          <w:cantSplit/>
        </w:trPr>
        <w:tc>
          <w:tcPr>
            <w:tcW w:type="dxa" w:w="2498"/>
            <w:vAlign w:val="top"/>
          </w:tcPr>
          <w:p>
            <w:pPr>
              <w:spacing w:after="0"/>
            </w:pPr>
            <w:r/>
            <w:r>
              <w:rPr>
                <w:rFonts w:ascii="Arial" w:hAnsi="Arial"/>
                <w:b w:val="0"/>
                <w:sz w:val="16"/>
              </w:rPr>
              <w:t>Sewer</w:t>
            </w:r>
          </w:p>
        </w:tc>
        <w:tc>
          <w:tcPr>
            <w:tcW w:type="dxa" w:w="2498"/>
            <w:vAlign w:val="top"/>
          </w:tcPr>
          <w:p>
            <w:pPr>
              <w:spacing w:after="0"/>
            </w:pPr>
            <w:r/>
            <w:r>
              <w:rPr>
                <w:rFonts w:ascii="Arial" w:hAnsi="Arial"/>
                <w:b w:val="0"/>
                <w:sz w:val="16"/>
              </w:rPr>
              <w:t>Converted from cesspool to sewer in 1939 under permit 41973.</w:t>
            </w:r>
          </w:p>
        </w:tc>
        <w:tc>
          <w:tcPr>
            <w:tcW w:type="dxa" w:w="2498"/>
            <w:vAlign w:val="top"/>
          </w:tcPr>
          <w:p>
            <w:pPr>
              <w:spacing w:after="0"/>
            </w:pPr>
            <w:r/>
            <w:r>
              <w:rPr>
                <w:rFonts w:ascii="Arial" w:hAnsi="Arial"/>
                <w:b w:val="0"/>
                <w:sz w:val="16"/>
              </w:rPr>
              <w:t>5/5</w:t>
            </w:r>
          </w:p>
        </w:tc>
        <w:tc>
          <w:tcPr>
            <w:tcW w:type="dxa" w:w="2498"/>
            <w:vAlign w:val="top"/>
          </w:tcPr>
          <w:p>
            <w:pPr>
              <w:spacing w:after="0"/>
            </w:pPr>
            <w:r/>
            <w:r>
              <w:rPr>
                <w:rFonts w:ascii="Arial" w:hAnsi="Arial"/>
                <w:b w:val="0"/>
                <w:sz w:val="16"/>
              </w:rPr>
              <w:t>P2, P4, P5</w:t>
            </w:r>
          </w:p>
        </w:tc>
      </w:tr>
      <w:tr>
        <w:trPr>
          <w:cantSplit/>
        </w:trPr>
        <w:tc>
          <w:tcPr>
            <w:tcW w:type="dxa" w:w="2498"/>
            <w:vAlign w:val="top"/>
          </w:tcPr>
          <w:p>
            <w:pPr>
              <w:spacing w:after="0"/>
            </w:pPr>
            <w:r/>
            <w:r>
              <w:rPr>
                <w:rFonts w:ascii="Arial" w:hAnsi="Arial"/>
                <w:b w:val="0"/>
                <w:sz w:val="16"/>
              </w:rPr>
              <w:t>Water service</w:t>
            </w:r>
          </w:p>
        </w:tc>
        <w:tc>
          <w:tcPr>
            <w:tcW w:type="dxa" w:w="2498"/>
            <w:vAlign w:val="top"/>
          </w:tcPr>
          <w:p>
            <w:pPr>
              <w:spacing w:after="0"/>
            </w:pPr>
            <w:r/>
            <w:r>
              <w:rPr>
                <w:rFonts w:ascii="Arial" w:hAnsi="Arial"/>
                <w:b w:val="0"/>
                <w:sz w:val="16"/>
              </w:rPr>
              <w:t>One water service replaced in 1947.</w:t>
            </w:r>
          </w:p>
        </w:tc>
        <w:tc>
          <w:tcPr>
            <w:tcW w:type="dxa" w:w="2498"/>
            <w:vAlign w:val="top"/>
          </w:tcPr>
          <w:p>
            <w:pPr>
              <w:spacing w:after="0"/>
            </w:pPr>
            <w:r/>
            <w:r>
              <w:rPr>
                <w:rFonts w:ascii="Arial" w:hAnsi="Arial"/>
                <w:b w:val="0"/>
                <w:sz w:val="16"/>
              </w:rPr>
              <w:t>5/5</w:t>
            </w:r>
          </w:p>
        </w:tc>
        <w:tc>
          <w:tcPr>
            <w:tcW w:type="dxa" w:w="2498"/>
            <w:vAlign w:val="top"/>
          </w:tcPr>
          <w:p>
            <w:pPr>
              <w:spacing w:after="0"/>
            </w:pPr>
            <w:r/>
            <w:r>
              <w:rPr>
                <w:rFonts w:ascii="Arial" w:hAnsi="Arial"/>
                <w:b w:val="0"/>
                <w:sz w:val="16"/>
              </w:rPr>
              <w:t>P3</w:t>
            </w:r>
          </w:p>
        </w:tc>
      </w:tr>
      <w:tr>
        <w:trPr>
          <w:cantSplit/>
        </w:trPr>
        <w:tc>
          <w:tcPr>
            <w:tcW w:type="dxa" w:w="2498"/>
            <w:vAlign w:val="top"/>
          </w:tcPr>
          <w:p>
            <w:pPr>
              <w:spacing w:after="0"/>
            </w:pPr>
            <w:r/>
            <w:r>
              <w:rPr>
                <w:rFonts w:ascii="Arial" w:hAnsi="Arial"/>
                <w:b w:val="0"/>
                <w:sz w:val="16"/>
              </w:rPr>
              <w:t>Oil heat</w:t>
            </w:r>
          </w:p>
        </w:tc>
        <w:tc>
          <w:tcPr>
            <w:tcW w:type="dxa" w:w="2498"/>
            <w:vAlign w:val="top"/>
          </w:tcPr>
          <w:p>
            <w:pPr>
              <w:spacing w:after="0"/>
            </w:pPr>
            <w:r/>
            <w:r>
              <w:rPr>
                <w:rFonts w:ascii="Arial" w:hAnsi="Arial"/>
                <w:b w:val="0"/>
                <w:sz w:val="16"/>
              </w:rPr>
              <w:t>Warm-air oil heat and a 275-gallon basement tank documented in 1966.</w:t>
            </w:r>
          </w:p>
        </w:tc>
        <w:tc>
          <w:tcPr>
            <w:tcW w:type="dxa" w:w="2498"/>
            <w:vAlign w:val="top"/>
          </w:tcPr>
          <w:p>
            <w:pPr>
              <w:spacing w:after="0"/>
            </w:pPr>
            <w:r/>
            <w:r>
              <w:rPr>
                <w:rFonts w:ascii="Arial" w:hAnsi="Arial"/>
                <w:b w:val="0"/>
                <w:sz w:val="16"/>
              </w:rPr>
              <w:t>5/5</w:t>
            </w:r>
          </w:p>
        </w:tc>
        <w:tc>
          <w:tcPr>
            <w:tcW w:type="dxa" w:w="2498"/>
            <w:vAlign w:val="top"/>
          </w:tcPr>
          <w:p>
            <w:pPr>
              <w:spacing w:after="0"/>
            </w:pPr>
            <w:r/>
            <w:r>
              <w:rPr>
                <w:rFonts w:ascii="Arial" w:hAnsi="Arial"/>
                <w:b w:val="0"/>
                <w:sz w:val="16"/>
              </w:rPr>
              <w:t>P6</w:t>
            </w:r>
          </w:p>
        </w:tc>
      </w:tr>
      <w:tr>
        <w:trPr>
          <w:cantSplit/>
        </w:trPr>
        <w:tc>
          <w:tcPr>
            <w:tcW w:type="dxa" w:w="2498"/>
            <w:vAlign w:val="top"/>
          </w:tcPr>
          <w:p>
            <w:pPr>
              <w:spacing w:after="0"/>
            </w:pPr>
            <w:r/>
            <w:r>
              <w:rPr>
                <w:rFonts w:ascii="Arial" w:hAnsi="Arial"/>
                <w:b w:val="0"/>
                <w:sz w:val="16"/>
              </w:rPr>
              <w:t>Underground storage tank</w:t>
            </w:r>
          </w:p>
        </w:tc>
        <w:tc>
          <w:tcPr>
            <w:tcW w:type="dxa" w:w="2498"/>
            <w:vAlign w:val="top"/>
          </w:tcPr>
          <w:p>
            <w:pPr>
              <w:spacing w:after="0"/>
            </w:pPr>
            <w:r/>
            <w:r>
              <w:rPr>
                <w:rFonts w:ascii="Arial" w:hAnsi="Arial"/>
                <w:b w:val="0"/>
                <w:sz w:val="16"/>
              </w:rPr>
              <w:t>Separate UST material has been recalled/recovered in the broader project, but the 1966 permit itself documents a basement tank, not an underground tank.</w:t>
            </w:r>
          </w:p>
        </w:tc>
        <w:tc>
          <w:tcPr>
            <w:tcW w:type="dxa" w:w="2498"/>
            <w:vAlign w:val="top"/>
          </w:tcPr>
          <w:p>
            <w:pPr>
              <w:spacing w:after="0"/>
            </w:pPr>
            <w:r/>
            <w:r>
              <w:rPr>
                <w:rFonts w:ascii="Arial" w:hAnsi="Arial"/>
                <w:b w:val="0"/>
                <w:sz w:val="16"/>
              </w:rPr>
              <w:t>Open / separate evidence set</w:t>
            </w:r>
          </w:p>
        </w:tc>
        <w:tc>
          <w:tcPr>
            <w:tcW w:type="dxa" w:w="2498"/>
            <w:vAlign w:val="top"/>
          </w:tcPr>
          <w:p>
            <w:pPr>
              <w:spacing w:after="0"/>
            </w:pPr>
            <w:r/>
            <w:r>
              <w:rPr>
                <w:rFonts w:ascii="Arial" w:hAnsi="Arial"/>
                <w:b w:val="0"/>
                <w:sz w:val="16"/>
              </w:rPr>
              <w:t>P6; O1</w:t>
            </w:r>
          </w:p>
        </w:tc>
      </w:tr>
      <w:tr>
        <w:trPr>
          <w:cantSplit/>
        </w:trPr>
        <w:tc>
          <w:tcPr>
            <w:tcW w:type="dxa" w:w="2498"/>
            <w:vAlign w:val="top"/>
          </w:tcPr>
          <w:p>
            <w:pPr>
              <w:spacing w:after="0"/>
            </w:pPr>
            <w:r/>
            <w:r>
              <w:rPr>
                <w:rFonts w:ascii="Arial" w:hAnsi="Arial"/>
                <w:b w:val="0"/>
                <w:sz w:val="16"/>
              </w:rPr>
              <w:t>Oil-tank removal</w:t>
            </w:r>
          </w:p>
        </w:tc>
        <w:tc>
          <w:tcPr>
            <w:tcW w:type="dxa" w:w="2498"/>
            <w:vAlign w:val="top"/>
          </w:tcPr>
          <w:p>
            <w:pPr>
              <w:spacing w:after="0"/>
            </w:pPr>
            <w:r/>
            <w:r>
              <w:rPr>
                <w:rFonts w:ascii="Arial" w:hAnsi="Arial"/>
                <w:b w:val="0"/>
                <w:sz w:val="16"/>
              </w:rPr>
              <w:t>Earlier oral history says the basement tank was removed between 1992 and 1999 and given to the owners of 1611 NE 73rd, likely during conversion to gas heat. Not yet permit-verified.</w:t>
            </w:r>
          </w:p>
        </w:tc>
        <w:tc>
          <w:tcPr>
            <w:tcW w:type="dxa" w:w="2498"/>
            <w:vAlign w:val="top"/>
          </w:tcPr>
          <w:p>
            <w:pPr>
              <w:spacing w:after="0"/>
            </w:pPr>
            <w:r/>
            <w:r>
              <w:rPr>
                <w:rFonts w:ascii="Arial" w:hAnsi="Arial"/>
                <w:b w:val="0"/>
                <w:sz w:val="16"/>
              </w:rPr>
              <w:t>2/5</w:t>
            </w:r>
          </w:p>
        </w:tc>
        <w:tc>
          <w:tcPr>
            <w:tcW w:type="dxa" w:w="2498"/>
            <w:vAlign w:val="top"/>
          </w:tcPr>
          <w:p>
            <w:pPr>
              <w:spacing w:after="0"/>
            </w:pPr>
            <w:r/>
            <w:r>
              <w:rPr>
                <w:rFonts w:ascii="Arial" w:hAnsi="Arial"/>
                <w:b w:val="0"/>
                <w:sz w:val="16"/>
              </w:rPr>
              <w:t>H1 / oral history</w:t>
            </w:r>
          </w:p>
        </w:tc>
      </w:tr>
    </w:tbl>
    <w:p>
      <w:pPr>
        <w:pStyle w:val="Heading1"/>
        <w:keepNext/>
      </w:pPr>
      <w:r>
        <w:t>DeVeny / Dowty Family Chronology Relevant to the House</w:t>
      </w:r>
    </w:p>
    <w:tbl>
      <w:tblPr>
        <w:tblStyle w:val="TableGrid"/>
        <w:tblW w:type="auto" w:w="0"/>
        <w:jc w:val="center"/>
        <w:tblLook w:firstColumn="1" w:firstRow="1" w:lastColumn="0" w:lastRow="0" w:noHBand="0" w:noVBand="1" w:val="04A0"/>
        <w:tblCellMar>
          <w:top w:w="70" w:type="dxa"/>
          <w:left w:w="70" w:type="dxa"/>
          <w:bottom w:w="70" w:type="dxa"/>
          <w:right w:w="70" w:type="dxa"/>
        </w:tblCellMar>
      </w:tblPr>
      <w:tblGrid>
        <w:gridCol w:w="2498"/>
        <w:gridCol w:w="2498"/>
        <w:gridCol w:w="2498"/>
        <w:gridCol w:w="2498"/>
      </w:tblGrid>
      <w:tr>
        <w:trPr>
          <w:cantSplit/>
          <w:tblHeader w:val="true"/>
        </w:trPr>
        <w:tc>
          <w:tcPr>
            <w:tcW w:type="dxa" w:w="2498"/>
            <w:vAlign w:val="top"/>
            <w:shd w:fill="354C5B"/>
          </w:tcPr>
          <w:p>
            <w:pPr>
              <w:spacing w:after="0"/>
            </w:pPr>
            <w:r/>
            <w:r>
              <w:rPr>
                <w:rFonts w:ascii="Arial" w:hAnsi="Arial"/>
                <w:b/>
                <w:color w:val="FFFFFF"/>
                <w:sz w:val="17"/>
              </w:rPr>
              <w:t>Date</w:t>
            </w:r>
          </w:p>
        </w:tc>
        <w:tc>
          <w:tcPr>
            <w:tcW w:type="dxa" w:w="2498"/>
            <w:vAlign w:val="top"/>
            <w:shd w:fill="354C5B"/>
          </w:tcPr>
          <w:p>
            <w:pPr>
              <w:spacing w:after="0"/>
            </w:pPr>
            <w:r/>
            <w:r>
              <w:rPr>
                <w:rFonts w:ascii="Arial" w:hAnsi="Arial"/>
                <w:b/>
                <w:color w:val="FFFFFF"/>
                <w:sz w:val="17"/>
              </w:rPr>
              <w:t>Family event</w:t>
            </w:r>
          </w:p>
        </w:tc>
        <w:tc>
          <w:tcPr>
            <w:tcW w:type="dxa" w:w="2498"/>
            <w:vAlign w:val="top"/>
            <w:shd w:fill="354C5B"/>
          </w:tcPr>
          <w:p>
            <w:pPr>
              <w:spacing w:after="0"/>
            </w:pPr>
            <w:r/>
            <w:r>
              <w:rPr>
                <w:rFonts w:ascii="Arial" w:hAnsi="Arial"/>
                <w:b/>
                <w:color w:val="FFFFFF"/>
                <w:sz w:val="17"/>
              </w:rPr>
              <w:t>Why it matters to 1623</w:t>
            </w:r>
          </w:p>
        </w:tc>
        <w:tc>
          <w:tcPr>
            <w:tcW w:type="dxa" w:w="2498"/>
            <w:vAlign w:val="top"/>
            <w:shd w:fill="354C5B"/>
          </w:tcPr>
          <w:p>
            <w:pPr>
              <w:spacing w:after="0"/>
            </w:pPr>
            <w:r/>
            <w:r>
              <w:rPr>
                <w:rFonts w:ascii="Arial" w:hAnsi="Arial"/>
                <w:b/>
                <w:color w:val="FFFFFF"/>
                <w:sz w:val="17"/>
              </w:rPr>
              <w:t>Source</w:t>
            </w:r>
          </w:p>
        </w:tc>
      </w:tr>
      <w:tr>
        <w:trPr>
          <w:cantSplit/>
        </w:trPr>
        <w:tc>
          <w:tcPr>
            <w:tcW w:type="dxa" w:w="2498"/>
            <w:vAlign w:val="top"/>
          </w:tcPr>
          <w:p>
            <w:pPr>
              <w:spacing w:after="0"/>
            </w:pPr>
            <w:r/>
            <w:r>
              <w:rPr>
                <w:rFonts w:ascii="Arial" w:hAnsi="Arial"/>
                <w:b w:val="0"/>
                <w:sz w:val="16"/>
              </w:rPr>
              <w:t>1912</w:t>
            </w:r>
          </w:p>
        </w:tc>
        <w:tc>
          <w:tcPr>
            <w:tcW w:type="dxa" w:w="2498"/>
            <w:vAlign w:val="top"/>
          </w:tcPr>
          <w:p>
            <w:pPr>
              <w:spacing w:after="0"/>
            </w:pPr>
            <w:r/>
            <w:r>
              <w:rPr>
                <w:rFonts w:ascii="Arial" w:hAnsi="Arial"/>
                <w:b w:val="0"/>
                <w:sz w:val="16"/>
              </w:rPr>
              <w:t>“Mr. J. Deveny” named owner of new dwelling.</w:t>
            </w:r>
          </w:p>
        </w:tc>
        <w:tc>
          <w:tcPr>
            <w:tcW w:type="dxa" w:w="2498"/>
            <w:vAlign w:val="top"/>
          </w:tcPr>
          <w:p>
            <w:pPr>
              <w:spacing w:after="0"/>
            </w:pPr>
            <w:r/>
            <w:r>
              <w:rPr>
                <w:rFonts w:ascii="Arial" w:hAnsi="Arial"/>
                <w:b w:val="0"/>
                <w:sz w:val="16"/>
              </w:rPr>
              <w:t>Starts the documented DeVeny association at construction.</w:t>
            </w:r>
          </w:p>
        </w:tc>
        <w:tc>
          <w:tcPr>
            <w:tcW w:type="dxa" w:w="2498"/>
            <w:vAlign w:val="top"/>
          </w:tcPr>
          <w:p>
            <w:pPr>
              <w:spacing w:after="0"/>
            </w:pPr>
            <w:r/>
            <w:r>
              <w:rPr>
                <w:rFonts w:ascii="Arial" w:hAnsi="Arial"/>
                <w:b w:val="0"/>
                <w:sz w:val="16"/>
              </w:rPr>
              <w:t>P1</w:t>
            </w:r>
          </w:p>
        </w:tc>
      </w:tr>
      <w:tr>
        <w:trPr>
          <w:cantSplit/>
        </w:trPr>
        <w:tc>
          <w:tcPr>
            <w:tcW w:type="dxa" w:w="2498"/>
            <w:vAlign w:val="top"/>
          </w:tcPr>
          <w:p>
            <w:pPr>
              <w:spacing w:after="0"/>
            </w:pPr>
            <w:r/>
            <w:r>
              <w:rPr>
                <w:rFonts w:ascii="Arial" w:hAnsi="Arial"/>
                <w:b w:val="0"/>
                <w:sz w:val="16"/>
              </w:rPr>
              <w:t>1940</w:t>
            </w:r>
          </w:p>
        </w:tc>
        <w:tc>
          <w:tcPr>
            <w:tcW w:type="dxa" w:w="2498"/>
            <w:vAlign w:val="top"/>
          </w:tcPr>
          <w:p>
            <w:pPr>
              <w:spacing w:after="0"/>
            </w:pPr>
            <w:r/>
            <w:r>
              <w:rPr>
                <w:rFonts w:ascii="Arial" w:hAnsi="Arial"/>
                <w:b w:val="0"/>
                <w:sz w:val="16"/>
              </w:rPr>
              <w:t>Earlier notes report Edgar, Fern, Irene and Nola in the census household.</w:t>
            </w:r>
          </w:p>
        </w:tc>
        <w:tc>
          <w:tcPr>
            <w:tcW w:type="dxa" w:w="2498"/>
            <w:vAlign w:val="top"/>
          </w:tcPr>
          <w:p>
            <w:pPr>
              <w:spacing w:after="0"/>
            </w:pPr>
            <w:r/>
            <w:r>
              <w:rPr>
                <w:rFonts w:ascii="Arial" w:hAnsi="Arial"/>
                <w:b w:val="0"/>
                <w:sz w:val="16"/>
              </w:rPr>
              <w:t>Places the younger DeVeny generation at the house, pending re-check of the census image.</w:t>
            </w:r>
          </w:p>
        </w:tc>
        <w:tc>
          <w:tcPr>
            <w:tcW w:type="dxa" w:w="2498"/>
            <w:vAlign w:val="top"/>
          </w:tcPr>
          <w:p>
            <w:pPr>
              <w:spacing w:after="0"/>
            </w:pPr>
            <w:r/>
            <w:r>
              <w:rPr>
                <w:rFonts w:ascii="Arial" w:hAnsi="Arial"/>
                <w:b w:val="0"/>
                <w:sz w:val="16"/>
              </w:rPr>
              <w:t>C1, H1</w:t>
            </w:r>
          </w:p>
        </w:tc>
      </w:tr>
      <w:tr>
        <w:trPr>
          <w:cantSplit/>
        </w:trPr>
        <w:tc>
          <w:tcPr>
            <w:tcW w:type="dxa" w:w="2498"/>
            <w:vAlign w:val="top"/>
          </w:tcPr>
          <w:p>
            <w:pPr>
              <w:spacing w:after="0"/>
            </w:pPr>
            <w:r/>
            <w:r>
              <w:rPr>
                <w:rFonts w:ascii="Arial" w:hAnsi="Arial"/>
                <w:b w:val="0"/>
                <w:sz w:val="16"/>
              </w:rPr>
              <w:t>1945</w:t>
            </w:r>
          </w:p>
        </w:tc>
        <w:tc>
          <w:tcPr>
            <w:tcW w:type="dxa" w:w="2498"/>
            <w:vAlign w:val="top"/>
          </w:tcPr>
          <w:p>
            <w:pPr>
              <w:spacing w:after="0"/>
            </w:pPr>
            <w:r/>
            <w:r>
              <w:rPr>
                <w:rFonts w:ascii="Arial" w:hAnsi="Arial"/>
                <w:b w:val="0"/>
                <w:sz w:val="16"/>
              </w:rPr>
              <w:t>James Benjamin DeVeny living at 0214 SW Dakota.</w:t>
            </w:r>
          </w:p>
        </w:tc>
        <w:tc>
          <w:tcPr>
            <w:tcW w:type="dxa" w:w="2498"/>
            <w:vAlign w:val="top"/>
          </w:tcPr>
          <w:p>
            <w:pPr>
              <w:spacing w:after="0"/>
            </w:pPr>
            <w:r/>
            <w:r>
              <w:rPr>
                <w:rFonts w:ascii="Arial" w:hAnsi="Arial"/>
                <w:b w:val="0"/>
                <w:sz w:val="16"/>
              </w:rPr>
              <w:t>Shows James had moved elsewhere by 1945.</w:t>
            </w:r>
          </w:p>
        </w:tc>
        <w:tc>
          <w:tcPr>
            <w:tcW w:type="dxa" w:w="2498"/>
            <w:vAlign w:val="top"/>
          </w:tcPr>
          <w:p>
            <w:pPr>
              <w:spacing w:after="0"/>
            </w:pPr>
            <w:r/>
            <w:r>
              <w:rPr>
                <w:rFonts w:ascii="Arial" w:hAnsi="Arial"/>
                <w:b w:val="0"/>
                <w:sz w:val="16"/>
              </w:rPr>
              <w:t>N8</w:t>
            </w:r>
          </w:p>
        </w:tc>
      </w:tr>
      <w:tr>
        <w:trPr>
          <w:cantSplit/>
        </w:trPr>
        <w:tc>
          <w:tcPr>
            <w:tcW w:type="dxa" w:w="2498"/>
            <w:vAlign w:val="top"/>
          </w:tcPr>
          <w:p>
            <w:pPr>
              <w:spacing w:after="0"/>
            </w:pPr>
            <w:r/>
            <w:r>
              <w:rPr>
                <w:rFonts w:ascii="Arial" w:hAnsi="Arial"/>
                <w:b w:val="0"/>
                <w:sz w:val="16"/>
              </w:rPr>
              <w:t>31 Dec. 1950</w:t>
            </w:r>
          </w:p>
        </w:tc>
        <w:tc>
          <w:tcPr>
            <w:tcW w:type="dxa" w:w="2498"/>
            <w:vAlign w:val="top"/>
          </w:tcPr>
          <w:p>
            <w:pPr>
              <w:spacing w:after="0"/>
            </w:pPr>
            <w:r/>
            <w:r>
              <w:rPr>
                <w:rFonts w:ascii="Arial" w:hAnsi="Arial"/>
                <w:b w:val="0"/>
                <w:sz w:val="16"/>
              </w:rPr>
              <w:t>Nola Diane DeVeny marries Jack Howard Fick.</w:t>
            </w:r>
          </w:p>
        </w:tc>
        <w:tc>
          <w:tcPr>
            <w:tcW w:type="dxa" w:w="2498"/>
            <w:vAlign w:val="top"/>
          </w:tcPr>
          <w:p>
            <w:pPr>
              <w:spacing w:after="0"/>
            </w:pPr>
            <w:r/>
            <w:r>
              <w:rPr>
                <w:rFonts w:ascii="Arial" w:hAnsi="Arial"/>
                <w:b w:val="0"/>
                <w:sz w:val="16"/>
              </w:rPr>
              <w:t>Corrects older note that assigned Lloyd to the 1950 marriage.</w:t>
            </w:r>
          </w:p>
        </w:tc>
        <w:tc>
          <w:tcPr>
            <w:tcW w:type="dxa" w:w="2498"/>
            <w:vAlign w:val="top"/>
          </w:tcPr>
          <w:p>
            <w:pPr>
              <w:spacing w:after="0"/>
            </w:pPr>
            <w:r/>
            <w:r>
              <w:rPr>
                <w:rFonts w:ascii="Arial" w:hAnsi="Arial"/>
                <w:b w:val="0"/>
                <w:sz w:val="16"/>
              </w:rPr>
              <w:t>N1</w:t>
            </w:r>
          </w:p>
        </w:tc>
      </w:tr>
      <w:tr>
        <w:trPr>
          <w:cantSplit/>
        </w:trPr>
        <w:tc>
          <w:tcPr>
            <w:tcW w:type="dxa" w:w="2498"/>
            <w:vAlign w:val="top"/>
          </w:tcPr>
          <w:p>
            <w:pPr>
              <w:spacing w:after="0"/>
            </w:pPr>
            <w:r/>
            <w:r>
              <w:rPr>
                <w:rFonts w:ascii="Arial" w:hAnsi="Arial"/>
                <w:b w:val="0"/>
                <w:sz w:val="16"/>
              </w:rPr>
              <w:t>20 Sept. 1952</w:t>
            </w:r>
          </w:p>
        </w:tc>
        <w:tc>
          <w:tcPr>
            <w:tcW w:type="dxa" w:w="2498"/>
            <w:vAlign w:val="top"/>
          </w:tcPr>
          <w:p>
            <w:pPr>
              <w:spacing w:after="0"/>
            </w:pPr>
            <w:r/>
            <w:r>
              <w:rPr>
                <w:rFonts w:ascii="Arial" w:hAnsi="Arial"/>
                <w:b w:val="0"/>
                <w:sz w:val="16"/>
              </w:rPr>
              <w:t>Nola marries Lloyd Wallace Dowty.</w:t>
            </w:r>
          </w:p>
        </w:tc>
        <w:tc>
          <w:tcPr>
            <w:tcW w:type="dxa" w:w="2498"/>
            <w:vAlign w:val="top"/>
          </w:tcPr>
          <w:p>
            <w:pPr>
              <w:spacing w:after="0"/>
            </w:pPr>
            <w:r/>
            <w:r>
              <w:rPr>
                <w:rFonts w:ascii="Arial" w:hAnsi="Arial"/>
                <w:b w:val="0"/>
                <w:sz w:val="16"/>
              </w:rPr>
              <w:t>Establishes the Dowty surname and later family branch.</w:t>
            </w:r>
          </w:p>
        </w:tc>
        <w:tc>
          <w:tcPr>
            <w:tcW w:type="dxa" w:w="2498"/>
            <w:vAlign w:val="top"/>
          </w:tcPr>
          <w:p>
            <w:pPr>
              <w:spacing w:after="0"/>
            </w:pPr>
            <w:r/>
            <w:r>
              <w:rPr>
                <w:rFonts w:ascii="Arial" w:hAnsi="Arial"/>
                <w:b w:val="0"/>
                <w:sz w:val="16"/>
              </w:rPr>
              <w:t>N2</w:t>
            </w:r>
          </w:p>
        </w:tc>
      </w:tr>
      <w:tr>
        <w:trPr>
          <w:cantSplit/>
        </w:trPr>
        <w:tc>
          <w:tcPr>
            <w:tcW w:type="dxa" w:w="2498"/>
            <w:vAlign w:val="top"/>
          </w:tcPr>
          <w:p>
            <w:pPr>
              <w:spacing w:after="0"/>
            </w:pPr>
            <w:r/>
            <w:r>
              <w:rPr>
                <w:rFonts w:ascii="Arial" w:hAnsi="Arial"/>
                <w:b w:val="0"/>
                <w:sz w:val="16"/>
              </w:rPr>
              <w:t>2 Oct. 1954</w:t>
            </w:r>
          </w:p>
        </w:tc>
        <w:tc>
          <w:tcPr>
            <w:tcW w:type="dxa" w:w="2498"/>
            <w:vAlign w:val="top"/>
          </w:tcPr>
          <w:p>
            <w:pPr>
              <w:spacing w:after="0"/>
            </w:pPr>
            <w:r/>
            <w:r>
              <w:rPr>
                <w:rFonts w:ascii="Arial" w:hAnsi="Arial"/>
                <w:b w:val="0"/>
                <w:sz w:val="16"/>
              </w:rPr>
              <w:t>Bruce Edgar Dowty born, first child.</w:t>
            </w:r>
          </w:p>
        </w:tc>
        <w:tc>
          <w:tcPr>
            <w:tcW w:type="dxa" w:w="2498"/>
            <w:vAlign w:val="top"/>
          </w:tcPr>
          <w:p>
            <w:pPr>
              <w:spacing w:after="0"/>
            </w:pPr>
            <w:r/>
            <w:r>
              <w:rPr>
                <w:rFonts w:ascii="Arial" w:hAnsi="Arial"/>
                <w:b w:val="0"/>
                <w:sz w:val="16"/>
              </w:rPr>
              <w:t>Confirms Nola/Lloyd family chronology; maternal grandparents are E. A. DeVeny and wife.</w:t>
            </w:r>
          </w:p>
        </w:tc>
        <w:tc>
          <w:tcPr>
            <w:tcW w:type="dxa" w:w="2498"/>
            <w:vAlign w:val="top"/>
          </w:tcPr>
          <w:p>
            <w:pPr>
              <w:spacing w:after="0"/>
            </w:pPr>
            <w:r/>
            <w:r>
              <w:rPr>
                <w:rFonts w:ascii="Arial" w:hAnsi="Arial"/>
                <w:b w:val="0"/>
                <w:sz w:val="16"/>
              </w:rPr>
              <w:t>N3</w:t>
            </w:r>
          </w:p>
        </w:tc>
      </w:tr>
      <w:tr>
        <w:trPr>
          <w:cantSplit/>
        </w:trPr>
        <w:tc>
          <w:tcPr>
            <w:tcW w:type="dxa" w:w="2498"/>
            <w:vAlign w:val="top"/>
          </w:tcPr>
          <w:p>
            <w:pPr>
              <w:spacing w:after="0"/>
            </w:pPr>
            <w:r/>
            <w:r>
              <w:rPr>
                <w:rFonts w:ascii="Arial" w:hAnsi="Arial"/>
                <w:b w:val="0"/>
                <w:sz w:val="16"/>
              </w:rPr>
              <w:t>8 Feb. 1957</w:t>
            </w:r>
          </w:p>
        </w:tc>
        <w:tc>
          <w:tcPr>
            <w:tcW w:type="dxa" w:w="2498"/>
            <w:vAlign w:val="top"/>
          </w:tcPr>
          <w:p>
            <w:pPr>
              <w:spacing w:after="0"/>
            </w:pPr>
            <w:r/>
            <w:r>
              <w:rPr>
                <w:rFonts w:ascii="Arial" w:hAnsi="Arial"/>
                <w:b w:val="0"/>
                <w:sz w:val="16"/>
              </w:rPr>
              <w:t>Diane Fern Dowty born.</w:t>
            </w:r>
          </w:p>
        </w:tc>
        <w:tc>
          <w:tcPr>
            <w:tcW w:type="dxa" w:w="2498"/>
            <w:vAlign w:val="top"/>
          </w:tcPr>
          <w:p>
            <w:pPr>
              <w:spacing w:after="0"/>
            </w:pPr>
            <w:r/>
            <w:r>
              <w:rPr>
                <w:rFonts w:ascii="Arial" w:hAnsi="Arial"/>
                <w:b w:val="0"/>
                <w:sz w:val="16"/>
              </w:rPr>
              <w:t>Confirms another granddaughter of E. A. DeVeny; name continuity with Fern.</w:t>
            </w:r>
          </w:p>
        </w:tc>
        <w:tc>
          <w:tcPr>
            <w:tcW w:type="dxa" w:w="2498"/>
            <w:vAlign w:val="top"/>
          </w:tcPr>
          <w:p>
            <w:pPr>
              <w:spacing w:after="0"/>
            </w:pPr>
            <w:r/>
            <w:r>
              <w:rPr>
                <w:rFonts w:ascii="Arial" w:hAnsi="Arial"/>
                <w:b w:val="0"/>
                <w:sz w:val="16"/>
              </w:rPr>
              <w:t>N4</w:t>
            </w:r>
          </w:p>
        </w:tc>
      </w:tr>
      <w:tr>
        <w:trPr>
          <w:cantSplit/>
        </w:trPr>
        <w:tc>
          <w:tcPr>
            <w:tcW w:type="dxa" w:w="2498"/>
            <w:vAlign w:val="top"/>
          </w:tcPr>
          <w:p>
            <w:pPr>
              <w:spacing w:after="0"/>
            </w:pPr>
            <w:r/>
            <w:r>
              <w:rPr>
                <w:rFonts w:ascii="Arial" w:hAnsi="Arial"/>
                <w:b w:val="0"/>
                <w:sz w:val="16"/>
              </w:rPr>
              <w:t>23 May 1967</w:t>
            </w:r>
          </w:p>
        </w:tc>
        <w:tc>
          <w:tcPr>
            <w:tcW w:type="dxa" w:w="2498"/>
            <w:vAlign w:val="top"/>
          </w:tcPr>
          <w:p>
            <w:pPr>
              <w:spacing w:after="0"/>
            </w:pPr>
            <w:r/>
            <w:r>
              <w:rPr>
                <w:rFonts w:ascii="Arial" w:hAnsi="Arial"/>
                <w:b w:val="0"/>
                <w:sz w:val="16"/>
              </w:rPr>
              <w:t>Denise Genevieve Dowty born; parents listed “of Milwaukie.”</w:t>
            </w:r>
          </w:p>
        </w:tc>
        <w:tc>
          <w:tcPr>
            <w:tcW w:type="dxa" w:w="2498"/>
            <w:vAlign w:val="top"/>
          </w:tcPr>
          <w:p>
            <w:pPr>
              <w:spacing w:after="0"/>
            </w:pPr>
            <w:r/>
            <w:r>
              <w:rPr>
                <w:rFonts w:ascii="Arial" w:hAnsi="Arial"/>
                <w:b w:val="0"/>
                <w:sz w:val="16"/>
              </w:rPr>
              <w:t>Direct evidence Nola’s family household was outside 1623 by 1967.</w:t>
            </w:r>
          </w:p>
        </w:tc>
        <w:tc>
          <w:tcPr>
            <w:tcW w:type="dxa" w:w="2498"/>
            <w:vAlign w:val="top"/>
          </w:tcPr>
          <w:p>
            <w:pPr>
              <w:spacing w:after="0"/>
            </w:pPr>
            <w:r/>
            <w:r>
              <w:rPr>
                <w:rFonts w:ascii="Arial" w:hAnsi="Arial"/>
                <w:b w:val="0"/>
                <w:sz w:val="16"/>
              </w:rPr>
              <w:t>N5</w:t>
            </w:r>
          </w:p>
        </w:tc>
      </w:tr>
      <w:tr>
        <w:trPr>
          <w:cantSplit/>
        </w:trPr>
        <w:tc>
          <w:tcPr>
            <w:tcW w:type="dxa" w:w="2498"/>
            <w:vAlign w:val="top"/>
          </w:tcPr>
          <w:p>
            <w:pPr>
              <w:spacing w:after="0"/>
            </w:pPr>
            <w:r/>
            <w:r>
              <w:rPr>
                <w:rFonts w:ascii="Arial" w:hAnsi="Arial"/>
                <w:b w:val="0"/>
                <w:sz w:val="16"/>
              </w:rPr>
              <w:t>24 Apr. 1969</w:t>
            </w:r>
          </w:p>
        </w:tc>
        <w:tc>
          <w:tcPr>
            <w:tcW w:type="dxa" w:w="2498"/>
            <w:vAlign w:val="top"/>
          </w:tcPr>
          <w:p>
            <w:pPr>
              <w:spacing w:after="0"/>
            </w:pPr>
            <w:r/>
            <w:r>
              <w:rPr>
                <w:rFonts w:ascii="Arial" w:hAnsi="Arial"/>
                <w:b w:val="0"/>
                <w:sz w:val="16"/>
              </w:rPr>
              <w:t>Edgar dies; funeral notices list 1623 and name Fern, Irene F. Taylor, and Nola D. Dowty.</w:t>
            </w:r>
          </w:p>
        </w:tc>
        <w:tc>
          <w:tcPr>
            <w:tcW w:type="dxa" w:w="2498"/>
            <w:vAlign w:val="top"/>
          </w:tcPr>
          <w:p>
            <w:pPr>
              <w:spacing w:after="0"/>
            </w:pPr>
            <w:r/>
            <w:r>
              <w:rPr>
                <w:rFonts w:ascii="Arial" w:hAnsi="Arial"/>
                <w:b w:val="0"/>
                <w:sz w:val="16"/>
              </w:rPr>
              <w:t>Directly ties Edgar and immediate family to 1623 at the end of his life.</w:t>
            </w:r>
          </w:p>
        </w:tc>
        <w:tc>
          <w:tcPr>
            <w:tcW w:type="dxa" w:w="2498"/>
            <w:vAlign w:val="top"/>
          </w:tcPr>
          <w:p>
            <w:pPr>
              <w:spacing w:after="0"/>
            </w:pPr>
            <w:r/>
            <w:r>
              <w:rPr>
                <w:rFonts w:ascii="Arial" w:hAnsi="Arial"/>
                <w:b w:val="0"/>
                <w:sz w:val="16"/>
              </w:rPr>
              <w:t>N6, N7, W3</w:t>
            </w:r>
          </w:p>
        </w:tc>
      </w:tr>
      <w:tr>
        <w:trPr>
          <w:cantSplit/>
        </w:trPr>
        <w:tc>
          <w:tcPr>
            <w:tcW w:type="dxa" w:w="2498"/>
            <w:vAlign w:val="top"/>
          </w:tcPr>
          <w:p>
            <w:pPr>
              <w:spacing w:after="0"/>
            </w:pPr>
            <w:r/>
            <w:r>
              <w:rPr>
                <w:rFonts w:ascii="Arial" w:hAnsi="Arial"/>
                <w:b w:val="0"/>
                <w:sz w:val="16"/>
              </w:rPr>
              <w:t>18 Jul. 1986</w:t>
            </w:r>
          </w:p>
        </w:tc>
        <w:tc>
          <w:tcPr>
            <w:tcW w:type="dxa" w:w="2498"/>
            <w:vAlign w:val="top"/>
          </w:tcPr>
          <w:p>
            <w:pPr>
              <w:spacing w:after="0"/>
            </w:pPr>
            <w:r/>
            <w:r>
              <w:rPr>
                <w:rFonts w:ascii="Arial" w:hAnsi="Arial"/>
                <w:b w:val="0"/>
                <w:sz w:val="16"/>
              </w:rPr>
              <w:t>Fern dies.</w:t>
            </w:r>
          </w:p>
        </w:tc>
        <w:tc>
          <w:tcPr>
            <w:tcW w:type="dxa" w:w="2498"/>
            <w:vAlign w:val="top"/>
          </w:tcPr>
          <w:p>
            <w:pPr>
              <w:spacing w:after="0"/>
            </w:pPr>
            <w:r/>
            <w:r>
              <w:rPr>
                <w:rFonts w:ascii="Arial" w:hAnsi="Arial"/>
                <w:b w:val="0"/>
                <w:sz w:val="16"/>
              </w:rPr>
              <w:t>Potential endpoint of family occupancy if neighbor recollection is correct.</w:t>
            </w:r>
          </w:p>
        </w:tc>
        <w:tc>
          <w:tcPr>
            <w:tcW w:type="dxa" w:w="2498"/>
            <w:vAlign w:val="top"/>
          </w:tcPr>
          <w:p>
            <w:pPr>
              <w:spacing w:after="0"/>
            </w:pPr>
            <w:r/>
            <w:r>
              <w:rPr>
                <w:rFonts w:ascii="Arial" w:hAnsi="Arial"/>
                <w:b w:val="0"/>
                <w:sz w:val="16"/>
              </w:rPr>
              <w:t>W4, O2</w:t>
            </w:r>
          </w:p>
        </w:tc>
      </w:tr>
      <w:tr>
        <w:trPr>
          <w:cantSplit/>
        </w:trPr>
        <w:tc>
          <w:tcPr>
            <w:tcW w:type="dxa" w:w="2498"/>
            <w:vAlign w:val="top"/>
          </w:tcPr>
          <w:p>
            <w:pPr>
              <w:spacing w:after="0"/>
            </w:pPr>
            <w:r/>
            <w:r>
              <w:rPr>
                <w:rFonts w:ascii="Arial" w:hAnsi="Arial"/>
                <w:b w:val="0"/>
                <w:sz w:val="16"/>
              </w:rPr>
              <w:t>1 Dec. 1992</w:t>
            </w:r>
          </w:p>
        </w:tc>
        <w:tc>
          <w:tcPr>
            <w:tcW w:type="dxa" w:w="2498"/>
            <w:vAlign w:val="top"/>
          </w:tcPr>
          <w:p>
            <w:pPr>
              <w:spacing w:after="0"/>
            </w:pPr>
            <w:r/>
            <w:r>
              <w:rPr>
                <w:rFonts w:ascii="Arial" w:hAnsi="Arial"/>
                <w:b w:val="0"/>
                <w:sz w:val="16"/>
              </w:rPr>
              <w:t>Sale for $64,950; older notes identify seller as Nola D. Dowty and buyer as Wayne Irvin et al.</w:t>
            </w:r>
          </w:p>
        </w:tc>
        <w:tc>
          <w:tcPr>
            <w:tcW w:type="dxa" w:w="2498"/>
            <w:vAlign w:val="top"/>
          </w:tcPr>
          <w:p>
            <w:pPr>
              <w:spacing w:after="0"/>
            </w:pPr>
            <w:r/>
            <w:r>
              <w:rPr>
                <w:rFonts w:ascii="Arial" w:hAnsi="Arial"/>
                <w:b w:val="0"/>
                <w:sz w:val="16"/>
              </w:rPr>
              <w:t>Likely end of DeVeny/Dowty legal ownership, pending deed confirmation.</w:t>
            </w:r>
          </w:p>
        </w:tc>
        <w:tc>
          <w:tcPr>
            <w:tcW w:type="dxa" w:w="2498"/>
            <w:vAlign w:val="top"/>
          </w:tcPr>
          <w:p>
            <w:pPr>
              <w:spacing w:after="0"/>
            </w:pPr>
            <w:r/>
            <w:r>
              <w:rPr>
                <w:rFonts w:ascii="Arial" w:hAnsi="Arial"/>
                <w:b w:val="0"/>
                <w:sz w:val="16"/>
              </w:rPr>
              <w:t>W1, H1</w:t>
            </w:r>
          </w:p>
        </w:tc>
      </w:tr>
    </w:tbl>
    <w:p>
      <w:pPr>
        <w:pStyle w:val="Heading1"/>
        <w:keepNext/>
      </w:pPr>
      <w:r>
        <w:t>Ownership and Occupancy: Current Best Conclusions</w:t>
      </w:r>
    </w:p>
    <w:tbl>
      <w:tblPr>
        <w:tblStyle w:val="TableGrid"/>
        <w:tblW w:type="auto" w:w="0"/>
        <w:jc w:val="center"/>
        <w:tblLook w:firstColumn="1" w:firstRow="1" w:lastColumn="0" w:lastRow="0" w:noHBand="0" w:noVBand="1" w:val="04A0"/>
        <w:tblCellMar>
          <w:top w:w="70" w:type="dxa"/>
          <w:left w:w="70" w:type="dxa"/>
          <w:bottom w:w="70" w:type="dxa"/>
          <w:right w:w="70" w:type="dxa"/>
        </w:tblCellMar>
      </w:tblPr>
      <w:tblGrid>
        <w:gridCol w:w="2498"/>
        <w:gridCol w:w="2498"/>
        <w:gridCol w:w="2498"/>
        <w:gridCol w:w="2498"/>
      </w:tblGrid>
      <w:tr>
        <w:trPr>
          <w:cantSplit/>
          <w:tblHeader w:val="true"/>
        </w:trPr>
        <w:tc>
          <w:tcPr>
            <w:tcW w:type="dxa" w:w="2498"/>
            <w:vAlign w:val="top"/>
            <w:shd w:fill="354C5B"/>
          </w:tcPr>
          <w:p>
            <w:pPr>
              <w:spacing w:after="0"/>
            </w:pPr>
            <w:r/>
            <w:r>
              <w:rPr>
                <w:rFonts w:ascii="Arial" w:hAnsi="Arial"/>
                <w:b/>
                <w:color w:val="FFFFFF"/>
                <w:sz w:val="17"/>
              </w:rPr>
              <w:t>Proposition</w:t>
            </w:r>
          </w:p>
        </w:tc>
        <w:tc>
          <w:tcPr>
            <w:tcW w:type="dxa" w:w="2498"/>
            <w:vAlign w:val="top"/>
            <w:shd w:fill="354C5B"/>
          </w:tcPr>
          <w:p>
            <w:pPr>
              <w:spacing w:after="0"/>
            </w:pPr>
            <w:r/>
            <w:r>
              <w:rPr>
                <w:rFonts w:ascii="Arial" w:hAnsi="Arial"/>
                <w:b/>
                <w:color w:val="FFFFFF"/>
                <w:sz w:val="17"/>
              </w:rPr>
              <w:t>Status</w:t>
            </w:r>
          </w:p>
        </w:tc>
        <w:tc>
          <w:tcPr>
            <w:tcW w:type="dxa" w:w="2498"/>
            <w:vAlign w:val="top"/>
            <w:shd w:fill="354C5B"/>
          </w:tcPr>
          <w:p>
            <w:pPr>
              <w:spacing w:after="0"/>
            </w:pPr>
            <w:r/>
            <w:r>
              <w:rPr>
                <w:rFonts w:ascii="Arial" w:hAnsi="Arial"/>
                <w:b/>
                <w:color w:val="FFFFFF"/>
                <w:sz w:val="17"/>
              </w:rPr>
              <w:t>Reason</w:t>
            </w:r>
          </w:p>
        </w:tc>
        <w:tc>
          <w:tcPr>
            <w:tcW w:type="dxa" w:w="2498"/>
            <w:vAlign w:val="top"/>
            <w:shd w:fill="354C5B"/>
          </w:tcPr>
          <w:p>
            <w:pPr>
              <w:spacing w:after="0"/>
            </w:pPr>
            <w:r/>
            <w:r>
              <w:rPr>
                <w:rFonts w:ascii="Arial" w:hAnsi="Arial"/>
                <w:b/>
                <w:color w:val="FFFFFF"/>
                <w:sz w:val="17"/>
              </w:rPr>
              <w:t>Source</w:t>
            </w:r>
          </w:p>
        </w:tc>
      </w:tr>
      <w:tr>
        <w:trPr>
          <w:cantSplit/>
        </w:trPr>
        <w:tc>
          <w:tcPr>
            <w:tcW w:type="dxa" w:w="2498"/>
            <w:vAlign w:val="top"/>
          </w:tcPr>
          <w:p>
            <w:pPr>
              <w:spacing w:after="0"/>
            </w:pPr>
            <w:r/>
            <w:r>
              <w:rPr>
                <w:rFonts w:ascii="Arial" w:hAnsi="Arial"/>
                <w:b w:val="0"/>
                <w:sz w:val="16"/>
              </w:rPr>
              <w:t>The DeVeny connection began with original construction.</w:t>
            </w:r>
          </w:p>
        </w:tc>
        <w:tc>
          <w:tcPr>
            <w:tcW w:type="dxa" w:w="2498"/>
            <w:vAlign w:val="top"/>
          </w:tcPr>
          <w:p>
            <w:pPr>
              <w:spacing w:after="0"/>
            </w:pPr>
            <w:r/>
            <w:r>
              <w:rPr>
                <w:rFonts w:ascii="Arial" w:hAnsi="Arial"/>
                <w:b w:val="0"/>
                <w:sz w:val="16"/>
              </w:rPr>
              <w:t>Strongly supported (5/5 for a DeVeny owner)</w:t>
            </w:r>
          </w:p>
        </w:tc>
        <w:tc>
          <w:tcPr>
            <w:tcW w:type="dxa" w:w="2498"/>
            <w:vAlign w:val="top"/>
          </w:tcPr>
          <w:p>
            <w:pPr>
              <w:spacing w:after="0"/>
            </w:pPr>
            <w:r/>
            <w:r>
              <w:rPr>
                <w:rFonts w:ascii="Arial" w:hAnsi="Arial"/>
                <w:b w:val="0"/>
                <w:sz w:val="16"/>
              </w:rPr>
              <w:t>The September 1912 new-dwelling card names “Mr. J. Deveny.”</w:t>
            </w:r>
          </w:p>
        </w:tc>
        <w:tc>
          <w:tcPr>
            <w:tcW w:type="dxa" w:w="2498"/>
            <w:vAlign w:val="top"/>
          </w:tcPr>
          <w:p>
            <w:pPr>
              <w:spacing w:after="0"/>
            </w:pPr>
            <w:r/>
            <w:r>
              <w:rPr>
                <w:rFonts w:ascii="Arial" w:hAnsi="Arial"/>
                <w:b w:val="0"/>
                <w:sz w:val="16"/>
              </w:rPr>
              <w:t>P1</w:t>
            </w:r>
          </w:p>
        </w:tc>
      </w:tr>
      <w:tr>
        <w:trPr>
          <w:cantSplit/>
        </w:trPr>
        <w:tc>
          <w:tcPr>
            <w:tcW w:type="dxa" w:w="2498"/>
            <w:vAlign w:val="top"/>
          </w:tcPr>
          <w:p>
            <w:pPr>
              <w:spacing w:after="0"/>
            </w:pPr>
            <w:r/>
            <w:r>
              <w:rPr>
                <w:rFonts w:ascii="Arial" w:hAnsi="Arial"/>
                <w:b w:val="0"/>
                <w:sz w:val="16"/>
              </w:rPr>
              <w:t>The 1912 owner was specifically James Benjamin DeVeny.</w:t>
            </w:r>
          </w:p>
        </w:tc>
        <w:tc>
          <w:tcPr>
            <w:tcW w:type="dxa" w:w="2498"/>
            <w:vAlign w:val="top"/>
          </w:tcPr>
          <w:p>
            <w:pPr>
              <w:spacing w:after="0"/>
            </w:pPr>
            <w:r/>
            <w:r>
              <w:rPr>
                <w:rFonts w:ascii="Arial" w:hAnsi="Arial"/>
                <w:b w:val="0"/>
                <w:sz w:val="16"/>
              </w:rPr>
              <w:t>Probable (3/5)</w:t>
            </w:r>
          </w:p>
        </w:tc>
        <w:tc>
          <w:tcPr>
            <w:tcW w:type="dxa" w:w="2498"/>
            <w:vAlign w:val="top"/>
          </w:tcPr>
          <w:p>
            <w:pPr>
              <w:spacing w:after="0"/>
            </w:pPr>
            <w:r/>
            <w:r>
              <w:rPr>
                <w:rFonts w:ascii="Arial" w:hAnsi="Arial"/>
                <w:b w:val="0"/>
                <w:sz w:val="16"/>
              </w:rPr>
              <w:t>The initial is J and James is the family candidate preserved in earlier research, but the deed/directory link is still missing.</w:t>
            </w:r>
          </w:p>
        </w:tc>
        <w:tc>
          <w:tcPr>
            <w:tcW w:type="dxa" w:w="2498"/>
            <w:vAlign w:val="top"/>
          </w:tcPr>
          <w:p>
            <w:pPr>
              <w:spacing w:after="0"/>
            </w:pPr>
            <w:r/>
            <w:r>
              <w:rPr>
                <w:rFonts w:ascii="Arial" w:hAnsi="Arial"/>
                <w:b w:val="0"/>
                <w:sz w:val="16"/>
              </w:rPr>
              <w:t>P1, H1, W12</w:t>
            </w:r>
          </w:p>
        </w:tc>
      </w:tr>
      <w:tr>
        <w:trPr>
          <w:cantSplit/>
        </w:trPr>
        <w:tc>
          <w:tcPr>
            <w:tcW w:type="dxa" w:w="2498"/>
            <w:vAlign w:val="top"/>
          </w:tcPr>
          <w:p>
            <w:pPr>
              <w:spacing w:after="0"/>
            </w:pPr>
            <w:r/>
            <w:r>
              <w:rPr>
                <w:rFonts w:ascii="Arial" w:hAnsi="Arial"/>
                <w:b w:val="0"/>
                <w:sz w:val="16"/>
              </w:rPr>
              <w:t>Edgar and Fern were the house’s mid-century family occupants.</w:t>
            </w:r>
          </w:p>
        </w:tc>
        <w:tc>
          <w:tcPr>
            <w:tcW w:type="dxa" w:w="2498"/>
            <w:vAlign w:val="top"/>
          </w:tcPr>
          <w:p>
            <w:pPr>
              <w:spacing w:after="0"/>
            </w:pPr>
            <w:r/>
            <w:r>
              <w:rPr>
                <w:rFonts w:ascii="Arial" w:hAnsi="Arial"/>
                <w:b w:val="0"/>
                <w:sz w:val="16"/>
              </w:rPr>
              <w:t>Very strong (4/5)</w:t>
            </w:r>
          </w:p>
        </w:tc>
        <w:tc>
          <w:tcPr>
            <w:tcW w:type="dxa" w:w="2498"/>
            <w:vAlign w:val="top"/>
          </w:tcPr>
          <w:p>
            <w:pPr>
              <w:spacing w:after="0"/>
            </w:pPr>
            <w:r/>
            <w:r>
              <w:rPr>
                <w:rFonts w:ascii="Arial" w:hAnsi="Arial"/>
                <w:b w:val="0"/>
                <w:sz w:val="16"/>
              </w:rPr>
              <w:t>Earlier census research places them there by 1940; the 1966 permit names E. A. DeVeny and the 1969 notices list Edgar at 1623 with Fern as wife.</w:t>
            </w:r>
          </w:p>
        </w:tc>
        <w:tc>
          <w:tcPr>
            <w:tcW w:type="dxa" w:w="2498"/>
            <w:vAlign w:val="top"/>
          </w:tcPr>
          <w:p>
            <w:pPr>
              <w:spacing w:after="0"/>
            </w:pPr>
            <w:r/>
            <w:r>
              <w:rPr>
                <w:rFonts w:ascii="Arial" w:hAnsi="Arial"/>
                <w:b w:val="0"/>
                <w:sz w:val="16"/>
              </w:rPr>
              <w:t>C1, P6, N6, N7</w:t>
            </w:r>
          </w:p>
        </w:tc>
      </w:tr>
      <w:tr>
        <w:trPr>
          <w:cantSplit/>
        </w:trPr>
        <w:tc>
          <w:tcPr>
            <w:tcW w:type="dxa" w:w="2498"/>
            <w:vAlign w:val="top"/>
          </w:tcPr>
          <w:p>
            <w:pPr>
              <w:spacing w:after="0"/>
            </w:pPr>
            <w:r/>
            <w:r>
              <w:rPr>
                <w:rFonts w:ascii="Arial" w:hAnsi="Arial"/>
                <w:b w:val="0"/>
                <w:sz w:val="16"/>
              </w:rPr>
              <w:t>Edgar lived at 1623 until his death in 1969.</w:t>
            </w:r>
          </w:p>
        </w:tc>
        <w:tc>
          <w:tcPr>
            <w:tcW w:type="dxa" w:w="2498"/>
            <w:vAlign w:val="top"/>
          </w:tcPr>
          <w:p>
            <w:pPr>
              <w:spacing w:after="0"/>
            </w:pPr>
            <w:r/>
            <w:r>
              <w:rPr>
                <w:rFonts w:ascii="Arial" w:hAnsi="Arial"/>
                <w:b w:val="0"/>
                <w:sz w:val="16"/>
              </w:rPr>
              <w:t>Confirmed (5/5)</w:t>
            </w:r>
          </w:p>
        </w:tc>
        <w:tc>
          <w:tcPr>
            <w:tcW w:type="dxa" w:w="2498"/>
            <w:vAlign w:val="top"/>
          </w:tcPr>
          <w:p>
            <w:pPr>
              <w:spacing w:after="0"/>
            </w:pPr>
            <w:r/>
            <w:r>
              <w:rPr>
                <w:rFonts w:ascii="Arial" w:hAnsi="Arial"/>
                <w:b w:val="0"/>
                <w:sz w:val="16"/>
              </w:rPr>
              <w:t>Contemporary funeral notices give 1623 as his address.</w:t>
            </w:r>
          </w:p>
        </w:tc>
        <w:tc>
          <w:tcPr>
            <w:tcW w:type="dxa" w:w="2498"/>
            <w:vAlign w:val="top"/>
          </w:tcPr>
          <w:p>
            <w:pPr>
              <w:spacing w:after="0"/>
            </w:pPr>
            <w:r/>
            <w:r>
              <w:rPr>
                <w:rFonts w:ascii="Arial" w:hAnsi="Arial"/>
                <w:b w:val="0"/>
                <w:sz w:val="16"/>
              </w:rPr>
              <w:t>N6, N7</w:t>
            </w:r>
          </w:p>
        </w:tc>
      </w:tr>
      <w:tr>
        <w:trPr>
          <w:cantSplit/>
        </w:trPr>
        <w:tc>
          <w:tcPr>
            <w:tcW w:type="dxa" w:w="2498"/>
            <w:vAlign w:val="top"/>
          </w:tcPr>
          <w:p>
            <w:pPr>
              <w:spacing w:after="0"/>
            </w:pPr>
            <w:r/>
            <w:r>
              <w:rPr>
                <w:rFonts w:ascii="Arial" w:hAnsi="Arial"/>
                <w:b w:val="0"/>
                <w:sz w:val="16"/>
              </w:rPr>
              <w:t>Fern stayed at 1623 alone until her death in 1986.</w:t>
            </w:r>
          </w:p>
        </w:tc>
        <w:tc>
          <w:tcPr>
            <w:tcW w:type="dxa" w:w="2498"/>
            <w:vAlign w:val="top"/>
          </w:tcPr>
          <w:p>
            <w:pPr>
              <w:spacing w:after="0"/>
            </w:pPr>
            <w:r/>
            <w:r>
              <w:rPr>
                <w:rFonts w:ascii="Arial" w:hAnsi="Arial"/>
                <w:b w:val="0"/>
                <w:sz w:val="16"/>
              </w:rPr>
              <w:t>Probable (3/5)</w:t>
            </w:r>
          </w:p>
        </w:tc>
        <w:tc>
          <w:tcPr>
            <w:tcW w:type="dxa" w:w="2498"/>
            <w:vAlign w:val="top"/>
          </w:tcPr>
          <w:p>
            <w:pPr>
              <w:spacing w:after="0"/>
            </w:pPr>
            <w:r/>
            <w:r>
              <w:rPr>
                <w:rFonts w:ascii="Arial" w:hAnsi="Arial"/>
                <w:b w:val="0"/>
                <w:sz w:val="16"/>
              </w:rPr>
              <w:t>Specific neighbor recollection supports it, but no 1980s address document has yet been found.</w:t>
            </w:r>
          </w:p>
        </w:tc>
        <w:tc>
          <w:tcPr>
            <w:tcW w:type="dxa" w:w="2498"/>
            <w:vAlign w:val="top"/>
          </w:tcPr>
          <w:p>
            <w:pPr>
              <w:spacing w:after="0"/>
            </w:pPr>
            <w:r/>
            <w:r>
              <w:rPr>
                <w:rFonts w:ascii="Arial" w:hAnsi="Arial"/>
                <w:b w:val="0"/>
                <w:sz w:val="16"/>
              </w:rPr>
              <w:t>O2, W4, H1</w:t>
            </w:r>
          </w:p>
        </w:tc>
      </w:tr>
      <w:tr>
        <w:trPr>
          <w:cantSplit/>
        </w:trPr>
        <w:tc>
          <w:tcPr>
            <w:tcW w:type="dxa" w:w="2498"/>
            <w:vAlign w:val="top"/>
          </w:tcPr>
          <w:p>
            <w:pPr>
              <w:spacing w:after="0"/>
            </w:pPr>
            <w:r/>
            <w:r>
              <w:rPr>
                <w:rFonts w:ascii="Arial" w:hAnsi="Arial"/>
                <w:b w:val="0"/>
                <w:sz w:val="16"/>
              </w:rPr>
              <w:t>Nola did not move back into 1623 after Fern’s death.</w:t>
            </w:r>
          </w:p>
        </w:tc>
        <w:tc>
          <w:tcPr>
            <w:tcW w:type="dxa" w:w="2498"/>
            <w:vAlign w:val="top"/>
          </w:tcPr>
          <w:p>
            <w:pPr>
              <w:spacing w:after="0"/>
            </w:pPr>
            <w:r/>
            <w:r>
              <w:rPr>
                <w:rFonts w:ascii="Arial" w:hAnsi="Arial"/>
                <w:b w:val="0"/>
                <w:sz w:val="16"/>
              </w:rPr>
              <w:t>Probable oral history (3/5)</w:t>
            </w:r>
          </w:p>
        </w:tc>
        <w:tc>
          <w:tcPr>
            <w:tcW w:type="dxa" w:w="2498"/>
            <w:vAlign w:val="top"/>
          </w:tcPr>
          <w:p>
            <w:pPr>
              <w:spacing w:after="0"/>
            </w:pPr>
            <w:r/>
            <w:r>
              <w:rPr>
                <w:rFonts w:ascii="Arial" w:hAnsi="Arial"/>
                <w:b w:val="0"/>
                <w:sz w:val="16"/>
              </w:rPr>
              <w:t>Neighbor recollection says she did not; Nola had an established Milwaukie household by 1967.</w:t>
            </w:r>
          </w:p>
        </w:tc>
        <w:tc>
          <w:tcPr>
            <w:tcW w:type="dxa" w:w="2498"/>
            <w:vAlign w:val="top"/>
          </w:tcPr>
          <w:p>
            <w:pPr>
              <w:spacing w:after="0"/>
            </w:pPr>
            <w:r/>
            <w:r>
              <w:rPr>
                <w:rFonts w:ascii="Arial" w:hAnsi="Arial"/>
                <w:b w:val="0"/>
                <w:sz w:val="16"/>
              </w:rPr>
              <w:t>O2, N5</w:t>
            </w:r>
          </w:p>
        </w:tc>
      </w:tr>
      <w:tr>
        <w:trPr>
          <w:cantSplit/>
        </w:trPr>
        <w:tc>
          <w:tcPr>
            <w:tcW w:type="dxa" w:w="2498"/>
            <w:vAlign w:val="top"/>
          </w:tcPr>
          <w:p>
            <w:pPr>
              <w:spacing w:after="0"/>
            </w:pPr>
            <w:r/>
            <w:r>
              <w:rPr>
                <w:rFonts w:ascii="Arial" w:hAnsi="Arial"/>
                <w:b w:val="0"/>
                <w:sz w:val="16"/>
              </w:rPr>
              <w:t>The house was a rental when acquired in 1992.</w:t>
            </w:r>
          </w:p>
        </w:tc>
        <w:tc>
          <w:tcPr>
            <w:tcW w:type="dxa" w:w="2498"/>
            <w:vAlign w:val="top"/>
          </w:tcPr>
          <w:p>
            <w:pPr>
              <w:spacing w:after="0"/>
            </w:pPr>
            <w:r/>
            <w:r>
              <w:rPr>
                <w:rFonts w:ascii="Arial" w:hAnsi="Arial"/>
                <w:b w:val="0"/>
                <w:sz w:val="16"/>
              </w:rPr>
              <w:t>Very strong oral history (4/5)</w:t>
            </w:r>
          </w:p>
        </w:tc>
        <w:tc>
          <w:tcPr>
            <w:tcW w:type="dxa" w:w="2498"/>
            <w:vAlign w:val="top"/>
          </w:tcPr>
          <w:p>
            <w:pPr>
              <w:spacing w:after="0"/>
            </w:pPr>
            <w:r/>
            <w:r>
              <w:rPr>
                <w:rFonts w:ascii="Arial" w:hAnsi="Arial"/>
                <w:b w:val="0"/>
                <w:sz w:val="16"/>
              </w:rPr>
              <w:t>Current owner states this with certainty.</w:t>
            </w:r>
          </w:p>
        </w:tc>
        <w:tc>
          <w:tcPr>
            <w:tcW w:type="dxa" w:w="2498"/>
            <w:vAlign w:val="top"/>
          </w:tcPr>
          <w:p>
            <w:pPr>
              <w:spacing w:after="0"/>
            </w:pPr>
            <w:r/>
            <w:r>
              <w:rPr>
                <w:rFonts w:ascii="Arial" w:hAnsi="Arial"/>
                <w:b w:val="0"/>
                <w:sz w:val="16"/>
              </w:rPr>
              <w:t>O1</w:t>
            </w:r>
          </w:p>
        </w:tc>
      </w:tr>
      <w:tr>
        <w:trPr>
          <w:cantSplit/>
        </w:trPr>
        <w:tc>
          <w:tcPr>
            <w:tcW w:type="dxa" w:w="2498"/>
            <w:vAlign w:val="top"/>
          </w:tcPr>
          <w:p>
            <w:pPr>
              <w:spacing w:after="0"/>
            </w:pPr>
            <w:r/>
            <w:r>
              <w:rPr>
                <w:rFonts w:ascii="Arial" w:hAnsi="Arial"/>
                <w:b w:val="0"/>
                <w:sz w:val="16"/>
              </w:rPr>
              <w:t>The rental period began immediately after Fern died in 1986.</w:t>
            </w:r>
          </w:p>
        </w:tc>
        <w:tc>
          <w:tcPr>
            <w:tcW w:type="dxa" w:w="2498"/>
            <w:vAlign w:val="top"/>
          </w:tcPr>
          <w:p>
            <w:pPr>
              <w:spacing w:after="0"/>
            </w:pPr>
            <w:r/>
            <w:r>
              <w:rPr>
                <w:rFonts w:ascii="Arial" w:hAnsi="Arial"/>
                <w:b w:val="0"/>
                <w:sz w:val="16"/>
              </w:rPr>
              <w:t>Possible to probable (3/5)</w:t>
            </w:r>
          </w:p>
        </w:tc>
        <w:tc>
          <w:tcPr>
            <w:tcW w:type="dxa" w:w="2498"/>
            <w:vAlign w:val="top"/>
          </w:tcPr>
          <w:p>
            <w:pPr>
              <w:spacing w:after="0"/>
            </w:pPr>
            <w:r/>
            <w:r>
              <w:rPr>
                <w:rFonts w:ascii="Arial" w:hAnsi="Arial"/>
                <w:b w:val="0"/>
                <w:sz w:val="16"/>
              </w:rPr>
              <w:t>Fits the chronology, but no tenant/address record yet dates the start.</w:t>
            </w:r>
          </w:p>
        </w:tc>
        <w:tc>
          <w:tcPr>
            <w:tcW w:type="dxa" w:w="2498"/>
            <w:vAlign w:val="top"/>
          </w:tcPr>
          <w:p>
            <w:pPr>
              <w:spacing w:after="0"/>
            </w:pPr>
            <w:r/>
            <w:r>
              <w:rPr>
                <w:rFonts w:ascii="Arial" w:hAnsi="Arial"/>
                <w:b w:val="0"/>
                <w:sz w:val="16"/>
              </w:rPr>
              <w:t>O1, O2, W4</w:t>
            </w:r>
          </w:p>
        </w:tc>
      </w:tr>
      <w:tr>
        <w:trPr>
          <w:cantSplit/>
        </w:trPr>
        <w:tc>
          <w:tcPr>
            <w:tcW w:type="dxa" w:w="2498"/>
            <w:vAlign w:val="top"/>
          </w:tcPr>
          <w:p>
            <w:pPr>
              <w:spacing w:after="0"/>
            </w:pPr>
            <w:r/>
            <w:r>
              <w:rPr>
                <w:rFonts w:ascii="Arial" w:hAnsi="Arial"/>
                <w:b w:val="0"/>
                <w:sz w:val="16"/>
              </w:rPr>
              <w:t>Nola D. Dowty sold to Wayne Irvin et al. in 1992.</w:t>
            </w:r>
          </w:p>
        </w:tc>
        <w:tc>
          <w:tcPr>
            <w:tcW w:type="dxa" w:w="2498"/>
            <w:vAlign w:val="top"/>
          </w:tcPr>
          <w:p>
            <w:pPr>
              <w:spacing w:after="0"/>
            </w:pPr>
            <w:r/>
            <w:r>
              <w:rPr>
                <w:rFonts w:ascii="Arial" w:hAnsi="Arial"/>
                <w:b w:val="0"/>
                <w:sz w:val="16"/>
              </w:rPr>
              <w:t>Working conclusion (3/5)</w:t>
            </w:r>
          </w:p>
        </w:tc>
        <w:tc>
          <w:tcPr>
            <w:tcW w:type="dxa" w:w="2498"/>
            <w:vAlign w:val="top"/>
          </w:tcPr>
          <w:p>
            <w:pPr>
              <w:spacing w:after="0"/>
            </w:pPr>
            <w:r/>
            <w:r>
              <w:rPr>
                <w:rFonts w:ascii="Arial" w:hAnsi="Arial"/>
                <w:b w:val="0"/>
                <w:sz w:val="16"/>
              </w:rPr>
              <w:t>Older research records these parties, while public records independently confirm the date and price; deed still missing.</w:t>
            </w:r>
          </w:p>
        </w:tc>
        <w:tc>
          <w:tcPr>
            <w:tcW w:type="dxa" w:w="2498"/>
            <w:vAlign w:val="top"/>
          </w:tcPr>
          <w:p>
            <w:pPr>
              <w:spacing w:after="0"/>
            </w:pPr>
            <w:r/>
            <w:r>
              <w:rPr>
                <w:rFonts w:ascii="Arial" w:hAnsi="Arial"/>
                <w:b w:val="0"/>
                <w:sz w:val="16"/>
              </w:rPr>
              <w:t>H1, W1</w:t>
            </w:r>
          </w:p>
        </w:tc>
      </w:tr>
      <w:tr>
        <w:trPr>
          <w:cantSplit/>
        </w:trPr>
        <w:tc>
          <w:tcPr>
            <w:tcW w:type="dxa" w:w="2498"/>
            <w:vAlign w:val="top"/>
          </w:tcPr>
          <w:p>
            <w:pPr>
              <w:spacing w:after="0"/>
            </w:pPr>
            <w:r/>
            <w:r>
              <w:rPr>
                <w:rFonts w:ascii="Arial" w:hAnsi="Arial"/>
                <w:b w:val="0"/>
                <w:sz w:val="16"/>
              </w:rPr>
              <w:t>Christine M. Irvin was part of the 1992 grantee group.</w:t>
            </w:r>
          </w:p>
        </w:tc>
        <w:tc>
          <w:tcPr>
            <w:tcW w:type="dxa" w:w="2498"/>
            <w:vAlign w:val="top"/>
          </w:tcPr>
          <w:p>
            <w:pPr>
              <w:spacing w:after="0"/>
            </w:pPr>
            <w:r/>
            <w:r>
              <w:rPr>
                <w:rFonts w:ascii="Arial" w:hAnsi="Arial"/>
                <w:b w:val="0"/>
                <w:sz w:val="16"/>
              </w:rPr>
              <w:t>Plausible (2/5)</w:t>
            </w:r>
          </w:p>
        </w:tc>
        <w:tc>
          <w:tcPr>
            <w:tcW w:type="dxa" w:w="2498"/>
            <w:vAlign w:val="top"/>
          </w:tcPr>
          <w:p>
            <w:pPr>
              <w:spacing w:after="0"/>
            </w:pPr>
            <w:r/>
            <w:r>
              <w:rPr>
                <w:rFonts w:ascii="Arial" w:hAnsi="Arial"/>
                <w:b w:val="0"/>
                <w:sz w:val="16"/>
              </w:rPr>
              <w:t>Wayne was Christine’s father and Christine later sold the property, but the “et al.” list has not been retrieved.</w:t>
            </w:r>
          </w:p>
        </w:tc>
        <w:tc>
          <w:tcPr>
            <w:tcW w:type="dxa" w:w="2498"/>
            <w:vAlign w:val="top"/>
          </w:tcPr>
          <w:p>
            <w:pPr>
              <w:spacing w:after="0"/>
            </w:pPr>
            <w:r/>
            <w:r>
              <w:rPr>
                <w:rFonts w:ascii="Arial" w:hAnsi="Arial"/>
                <w:b w:val="0"/>
                <w:sz w:val="16"/>
              </w:rPr>
              <w:t>O1, H1</w:t>
            </w:r>
          </w:p>
        </w:tc>
      </w:tr>
    </w:tbl>
    <w:p>
      <w:pPr>
        <w:pStyle w:val="Heading1"/>
        <w:keepNext/>
      </w:pPr>
      <w:r>
        <w:t>Highest-Priority Open Questions</w:t>
      </w:r>
    </w:p>
    <w:p>
      <w:pPr>
        <w:pStyle w:val="Heading3"/>
        <w:keepNext/>
      </w:pPr>
      <w:r>
        <w:t>1. Who exactly was “Mr. J. Deveny” in 1912?</w:t>
      </w:r>
    </w:p>
    <w:p>
      <w:pPr>
        <w:pStyle w:val="EvidenceNote"/>
      </w:pPr>
      <w:r>
        <w:rPr>
          <w:b/>
        </w:rPr>
        <w:t xml:space="preserve">Best next record: </w:t>
      </w:r>
      <w:r>
        <w:t>Retrieve the original deed/title entry and a 1912 city-directory or census-address link.</w:t>
      </w:r>
    </w:p>
    <w:p>
      <w:pPr>
        <w:pStyle w:val="EvidenceNote"/>
      </w:pPr>
      <w:r>
        <w:rPr>
          <w:b/>
        </w:rPr>
        <w:t xml:space="preserve">Current source basis: </w:t>
      </w:r>
      <w:r>
        <w:t>P1; W9</w:t>
      </w:r>
    </w:p>
    <w:p>
      <w:pPr>
        <w:pStyle w:val="Heading3"/>
        <w:keepNext/>
      </w:pPr>
      <w:r>
        <w:t>2. What is the complete DeVeny/Dowty title chain?</w:t>
      </w:r>
    </w:p>
    <w:p>
      <w:pPr>
        <w:pStyle w:val="EvidenceNote"/>
      </w:pPr>
      <w:r>
        <w:rPr>
          <w:b/>
        </w:rPr>
        <w:t xml:space="preserve">Best next record: </w:t>
      </w:r>
      <w:r>
        <w:t>Run the Multnomah County deed index from 1912 through the 1992 sale, with special attention to Edgar/Fern/Nola and estate transfers.</w:t>
      </w:r>
    </w:p>
    <w:p>
      <w:pPr>
        <w:pStyle w:val="EvidenceNote"/>
      </w:pPr>
      <w:r>
        <w:rPr>
          <w:b/>
        </w:rPr>
        <w:t xml:space="preserve">Current source basis: </w:t>
      </w:r>
      <w:r>
        <w:t>W9</w:t>
      </w:r>
    </w:p>
    <w:p>
      <w:pPr>
        <w:pStyle w:val="Heading3"/>
        <w:keepNext/>
      </w:pPr>
      <w:r>
        <w:t>3. Did Fern remain at 1623 through July 1986?</w:t>
      </w:r>
    </w:p>
    <w:p>
      <w:pPr>
        <w:pStyle w:val="EvidenceNote"/>
      </w:pPr>
      <w:r>
        <w:rPr>
          <w:b/>
        </w:rPr>
        <w:t xml:space="preserve">Best next record: </w:t>
      </w:r>
      <w:r>
        <w:t>Search 1969–1986 reverse directories, Fern’s obituary/death record, and probate file for residence/address.</w:t>
      </w:r>
    </w:p>
    <w:p>
      <w:pPr>
        <w:pStyle w:val="EvidenceNote"/>
      </w:pPr>
      <w:r>
        <w:rPr>
          <w:b/>
        </w:rPr>
        <w:t xml:space="preserve">Current source basis: </w:t>
      </w:r>
      <w:r>
        <w:t>O2; W4</w:t>
      </w:r>
    </w:p>
    <w:p>
      <w:pPr>
        <w:pStyle w:val="Heading3"/>
        <w:keepNext/>
      </w:pPr>
      <w:r>
        <w:t>4. Who lived there between 1986 and 1992?</w:t>
      </w:r>
    </w:p>
    <w:p>
      <w:pPr>
        <w:pStyle w:val="EvidenceNote"/>
      </w:pPr>
      <w:r>
        <w:rPr>
          <w:b/>
        </w:rPr>
        <w:t xml:space="preserve">Best next record: </w:t>
      </w:r>
      <w:r>
        <w:t>Use reverse directories and historical Oregonian/Oregon Journal address searches for 1623 NE 73rd, including rental classifieds.</w:t>
      </w:r>
    </w:p>
    <w:p>
      <w:pPr>
        <w:pStyle w:val="EvidenceNote"/>
      </w:pPr>
      <w:r>
        <w:rPr>
          <w:b/>
        </w:rPr>
        <w:t xml:space="preserve">Current source basis: </w:t>
      </w:r>
      <w:r>
        <w:t>O1; O2</w:t>
      </w:r>
    </w:p>
    <w:p>
      <w:pPr>
        <w:pStyle w:val="Heading3"/>
        <w:keepNext/>
      </w:pPr>
      <w:r>
        <w:t>5. Who were all grantees in the 1992 transaction?</w:t>
      </w:r>
    </w:p>
    <w:p>
      <w:pPr>
        <w:pStyle w:val="EvidenceNote"/>
      </w:pPr>
      <w:r>
        <w:rPr>
          <w:b/>
        </w:rPr>
        <w:t xml:space="preserve">Best next record: </w:t>
      </w:r>
      <w:r>
        <w:t>Retrieve the recorded deed and any same-day deed of trust for the Nola D. Dowty → Wayne Irvin et al. transaction.</w:t>
      </w:r>
    </w:p>
    <w:p>
      <w:pPr>
        <w:pStyle w:val="EvidenceNote"/>
      </w:pPr>
      <w:r>
        <w:rPr>
          <w:b/>
        </w:rPr>
        <w:t xml:space="preserve">Current source basis: </w:t>
      </w:r>
      <w:r>
        <w:t>H1; W1; W9</w:t>
      </w:r>
    </w:p>
    <w:p>
      <w:pPr>
        <w:pStyle w:val="Heading3"/>
        <w:keepNext/>
      </w:pPr>
      <w:r>
        <w:t>6. How did Nola’s first marriage end?</w:t>
      </w:r>
    </w:p>
    <w:p>
      <w:pPr>
        <w:pStyle w:val="EvidenceNote"/>
      </w:pPr>
      <w:r>
        <w:rPr>
          <w:b/>
        </w:rPr>
        <w:t xml:space="preserve">Best next record: </w:t>
      </w:r>
      <w:r>
        <w:t>Search 1951–Sept. 1952 court/newspaper records for Nola/Jack Howard Fick divorce or annulment.</w:t>
      </w:r>
    </w:p>
    <w:p>
      <w:pPr>
        <w:pStyle w:val="EvidenceNote"/>
      </w:pPr>
      <w:r>
        <w:rPr>
          <w:b/>
        </w:rPr>
        <w:t xml:space="preserve">Current source basis: </w:t>
      </w:r>
      <w:r>
        <w:t>N1; N2</w:t>
      </w:r>
    </w:p>
    <w:p>
      <w:pPr>
        <w:pStyle w:val="Heading3"/>
        <w:keepNext/>
      </w:pPr>
      <w:r>
        <w:t>7. What was the exact pre-1933 address?</w:t>
      </w:r>
    </w:p>
    <w:p>
      <w:pPr>
        <w:pStyle w:val="EvidenceNote"/>
      </w:pPr>
      <w:r>
        <w:rPr>
          <w:b/>
        </w:rPr>
        <w:t xml:space="preserve">Best next record: </w:t>
      </w:r>
      <w:r>
        <w:t>Verify “369 E 73rd Ave N” against Portland’s official renumbering/street-change records.</w:t>
      </w:r>
    </w:p>
    <w:p>
      <w:pPr>
        <w:pStyle w:val="EvidenceNote"/>
      </w:pPr>
      <w:r>
        <w:rPr>
          <w:b/>
        </w:rPr>
        <w:t xml:space="preserve">Current source basis: </w:t>
      </w:r>
      <w:r>
        <w:t>P1; H1; W10</w:t>
      </w:r>
    </w:p>
    <w:p>
      <w:pPr>
        <w:pStyle w:val="Heading3"/>
        <w:keepNext/>
      </w:pPr>
      <w:r>
        <w:t>8. When was oil heat removed and gas heat installed?</w:t>
      </w:r>
    </w:p>
    <w:p>
      <w:pPr>
        <w:pStyle w:val="EvidenceNote"/>
      </w:pPr>
      <w:r>
        <w:rPr>
          <w:b/>
        </w:rPr>
        <w:t xml:space="preserve">Best next record: </w:t>
      </w:r>
      <w:r>
        <w:t>Locate mechanical/gas permits from 1992–1999 and reconcile with the oral history that the basement tank went to 1611 NE 73rd.</w:t>
      </w:r>
    </w:p>
    <w:p>
      <w:pPr>
        <w:pStyle w:val="EvidenceNote"/>
      </w:pPr>
      <w:r>
        <w:rPr>
          <w:b/>
        </w:rPr>
        <w:t xml:space="preserve">Current source basis: </w:t>
      </w:r>
      <w:r>
        <w:t>P6; H1</w:t>
      </w:r>
    </w:p>
    <w:p>
      <w:pPr>
        <w:pStyle w:val="Heading1"/>
        <w:keepNext/>
      </w:pPr>
      <w:r>
        <w:t>Source Register</w:t>
      </w:r>
    </w:p>
    <w:p>
      <w:pPr>
        <w:pStyle w:val="Heading2"/>
        <w:keepNext/>
      </w:pPr>
      <w:r>
        <w:t>Primary municipal/property records</w:t>
      </w:r>
    </w:p>
    <w:p>
      <w:pPr>
        <w:ind w:left="259" w:hanging="259"/>
      </w:pPr>
      <w:r>
        <w:rPr>
          <w:b/>
        </w:rPr>
        <w:t xml:space="preserve">P1 — </w:t>
      </w:r>
      <w:r>
        <w:t>City of Portland historic plumbing inspection — September 1912 (785317.pdf, p. 5). New dwelling; “Mr. J. Deveny”; Lots 27–28, Block 33, Jonesmore; inspections 9/2/1912 and 9/13/1912.</w:t>
      </w:r>
    </w:p>
    <w:p>
      <w:pPr>
        <w:ind w:left="259" w:hanging="259"/>
      </w:pPr>
      <w:r>
        <w:rPr>
          <w:b/>
        </w:rPr>
        <w:t xml:space="preserve">P2 — </w:t>
      </w:r>
      <w:r>
        <w:t>City of Portland historic plumbing inspection — 1939 (785317.pdf, p. 3). Cesspool-to-sewer conversion; sewer permit 41973.</w:t>
      </w:r>
    </w:p>
    <w:p>
      <w:pPr>
        <w:ind w:left="259" w:hanging="259"/>
      </w:pPr>
      <w:r>
        <w:rPr>
          <w:b/>
        </w:rPr>
        <w:t xml:space="preserve">P3 — </w:t>
      </w:r>
      <w:r>
        <w:t>City of Portland historic plumbing inspection — 1947 (785317.pdf, p. 1). “Mrs. Deveny”; old dwelling; water service replacement; permit 185319.</w:t>
      </w:r>
    </w:p>
    <w:p>
      <w:pPr>
        <w:ind w:left="259" w:hanging="259"/>
      </w:pPr>
      <w:r>
        <w:rPr>
          <w:b/>
        </w:rPr>
        <w:t xml:space="preserve">P4 — </w:t>
      </w:r>
      <w:r>
        <w:t>City of Portland Department of Public Works sewer record — permit 41973 (441402.pdf, p. 1). 1623 NE 73rd; Jonesmore; Lots 27–28; Block 33.</w:t>
      </w:r>
    </w:p>
    <w:p>
      <w:pPr>
        <w:ind w:left="259" w:hanging="259"/>
      </w:pPr>
      <w:r>
        <w:rPr>
          <w:b/>
        </w:rPr>
        <w:t xml:space="preserve">P5 — </w:t>
      </w:r>
      <w:r>
        <w:t>Historic sewer/service sketch (529994.pdf, p. 1). Service/street geometry for the property.</w:t>
      </w:r>
    </w:p>
    <w:p>
      <w:pPr>
        <w:ind w:left="259" w:hanging="259"/>
      </w:pPr>
      <w:r>
        <w:rPr>
          <w:b/>
        </w:rPr>
        <w:t xml:space="preserve">P6 — </w:t>
      </w:r>
      <w:r>
        <w:t>City of Portland Fire Prevention Division oil-burner permit — July 1966, owner-supplied scan. “Install for E. A. DeVeny”; warm-air heat; 275-gallon basement tank.</w:t>
      </w:r>
    </w:p>
    <w:p>
      <w:pPr>
        <w:pStyle w:val="Heading2"/>
        <w:keepNext/>
      </w:pPr>
      <w:r>
        <w:t>Census / prior research record</w:t>
      </w:r>
    </w:p>
    <w:p>
      <w:pPr>
        <w:ind w:left="259" w:hanging="259"/>
      </w:pPr>
      <w:r>
        <w:rPr>
          <w:b/>
        </w:rPr>
        <w:t xml:space="preserve">C1 — </w:t>
      </w:r>
      <w:r>
        <w:t>1940 U.S. Census household entry as cited in the earlier house-history notes. The original census page needs to be re-added and audited; used here only as a provisional occupancy source.</w:t>
      </w:r>
    </w:p>
    <w:p>
      <w:pPr>
        <w:ind w:left="259" w:hanging="259"/>
      </w:pPr>
      <w:r>
        <w:rPr>
          <w:b/>
        </w:rPr>
        <w:t xml:space="preserve">H1 — </w:t>
      </w:r>
      <w:r>
        <w:t>Earlier owner-created house history, “1623 NE 73rd Ave.docx.” Contains prior research notes, permit images, neighbor recollection, 1992 party names, and the working pre-1933 address. Several conclusions in that document are corrected/qualified in this edition.</w:t>
      </w:r>
    </w:p>
    <w:p>
      <w:pPr>
        <w:pStyle w:val="Heading2"/>
        <w:keepNext/>
      </w:pPr>
      <w:r>
        <w:t>Newspaper clippings supplied during the August 2026 research</w:t>
      </w:r>
    </w:p>
    <w:p>
      <w:pPr>
        <w:ind w:left="259" w:hanging="259"/>
      </w:pPr>
      <w:r>
        <w:rPr>
          <w:b/>
        </w:rPr>
        <w:t xml:space="preserve">N1 — </w:t>
      </w:r>
      <w:r>
        <w:t>Oregon Journal, 12 Jan. 1951, p. 15 — “Recent Bride—Mrs. Jack Howard Fick (Nola Diane DeVeny).” Marriage date 31 Dec. 1950; parents Mr. and Mrs. E. A. DeVeny.</w:t>
      </w:r>
    </w:p>
    <w:p>
      <w:pPr>
        <w:ind w:left="259" w:hanging="259"/>
      </w:pPr>
      <w:r>
        <w:rPr>
          <w:b/>
        </w:rPr>
        <w:t xml:space="preserve">N2 — </w:t>
      </w:r>
      <w:r>
        <w:t>Oregon Journal, 26 Sept. 1952 — “Nola D. DeVeny Weds Saturday.” Nola Diane DeVeny married Lloyd Wallace Dowty; wedding date inferred as 20 Sept. 1952 from publication date and “Saturday.”</w:t>
      </w:r>
    </w:p>
    <w:p>
      <w:pPr>
        <w:ind w:left="259" w:hanging="259"/>
      </w:pPr>
      <w:r>
        <w:rPr>
          <w:b/>
        </w:rPr>
        <w:t xml:space="preserve">N3 — </w:t>
      </w:r>
      <w:r>
        <w:t>Oregon Journal, 6 Oct. 1954 — birth notice for Bruce Edgar Dowty, born 2 Oct. 1954, first child of Mr. and Mrs. Lloyd W. Dowty; grandparents include Mr. and Mrs. Edgar A. DeVeny.</w:t>
      </w:r>
    </w:p>
    <w:p>
      <w:pPr>
        <w:ind w:left="259" w:hanging="259"/>
      </w:pPr>
      <w:r>
        <w:rPr>
          <w:b/>
        </w:rPr>
        <w:t xml:space="preserve">N4 — </w:t>
      </w:r>
      <w:r>
        <w:t>Oregon Journal, 15 Feb. 1957 — birth notice for Diane Fern Dowty, born 8 Feb. 1957; second child and first daughter; grandparents include Mr. and Mrs. E. A. DeVeny.</w:t>
      </w:r>
    </w:p>
    <w:p>
      <w:pPr>
        <w:ind w:left="259" w:hanging="259"/>
      </w:pPr>
      <w:r>
        <w:rPr>
          <w:b/>
        </w:rPr>
        <w:t xml:space="preserve">N5 — </w:t>
      </w:r>
      <w:r>
        <w:t>Oregon Journal, 7 Jun. 1967, p. 18 — birth notice for Denise Genevieve Dowty, born 23 May 1967; parents Mr. and Mrs. Lloyd Wallace Dowty “of Milwaukie”; grandparents include Mr. and Mrs. Edgar A. DeVeny.</w:t>
      </w:r>
    </w:p>
    <w:p>
      <w:pPr>
        <w:ind w:left="259" w:hanging="259"/>
      </w:pPr>
      <w:r>
        <w:rPr>
          <w:b/>
        </w:rPr>
        <w:t xml:space="preserve">N6 — </w:t>
      </w:r>
      <w:r>
        <w:t>Oregon Journal, 26 Apr. 1969 — Edgar A. DeVeny funeral notice; gives 1623 NE 73rd Ave; identifies Fern A. as wife and Irene F. Taylor and Nola D. Dowty as daughters.</w:t>
      </w:r>
    </w:p>
    <w:p>
      <w:pPr>
        <w:ind w:left="259" w:hanging="259"/>
      </w:pPr>
      <w:r>
        <w:rPr>
          <w:b/>
        </w:rPr>
        <w:t xml:space="preserve">N7 — </w:t>
      </w:r>
      <w:r>
        <w:t>The Oregonian, 28 Apr. 1969 — Edgar A. DeVeny funeral notice; gives address 1623 NE 73rd Ave.</w:t>
      </w:r>
    </w:p>
    <w:p>
      <w:pPr>
        <w:ind w:left="259" w:hanging="259"/>
      </w:pPr>
      <w:r>
        <w:rPr>
          <w:b/>
        </w:rPr>
        <w:t xml:space="preserve">N8 — </w:t>
      </w:r>
      <w:r>
        <w:t>“James B. DeVeny” funeral notice, 1 Nov. 1945 — owner-supplied clipping; gives home as 0214 SW Dakota St and birth as 19 Aug. 1871 in Memphis, Tennessee. Publication title not yet verified in this evidence set.</w:t>
      </w:r>
    </w:p>
    <w:p>
      <w:pPr>
        <w:pStyle w:val="Heading2"/>
        <w:keepNext/>
      </w:pPr>
      <w:r>
        <w:t>Oral-history / firsthand sources</w:t>
      </w:r>
    </w:p>
    <w:p>
      <w:pPr>
        <w:ind w:left="259" w:hanging="259"/>
      </w:pPr>
      <w:r>
        <w:rPr>
          <w:b/>
        </w:rPr>
        <w:t xml:space="preserve">O1 — </w:t>
      </w:r>
      <w:r>
        <w:t>Current owner’s firsthand account and clarifications, August 2026: house was tenant-occupied when the Irvin family acquired it; Christine did not subsequently use it as a rental; Wayne Irvin was Christine M. Irvin’s father; purchase from Christine occurred in 1999.</w:t>
      </w:r>
    </w:p>
    <w:p>
      <w:pPr>
        <w:ind w:left="259" w:hanging="259"/>
      </w:pPr>
      <w:r>
        <w:rPr>
          <w:b/>
        </w:rPr>
        <w:t xml:space="preserve">O2 — </w:t>
      </w:r>
      <w:r>
        <w:t>Next-door neighbor recollection preserved in the earlier house-history notes: neighbor knew Fern, remembered her living alone, said Fern died in the house in 1986, and said Nola did not move back into the house with her family.</w:t>
      </w:r>
    </w:p>
    <w:p>
      <w:pPr>
        <w:pStyle w:val="Heading2"/>
        <w:keepNext/>
      </w:pPr>
      <w:r>
        <w:t>Web/reference sources already in the evidence set</w:t>
      </w:r>
    </w:p>
    <w:p>
      <w:pPr>
        <w:ind w:left="259" w:hanging="259"/>
      </w:pPr>
      <w:r>
        <w:rPr>
          <w:b/>
        </w:rPr>
        <w:t xml:space="preserve">W1 — </w:t>
      </w:r>
      <w:r>
        <w:t>Realtor.com public-record property history — 1623 NE 73rd Ave. Used for 1912 build-year corroboration and recorded sale events/prices (12/1/1992 $64,950; 5/27/1999 $127,000). https://www.realtor.com/realestateandhomes-detail/1623-NE-73rd-Ave_Portland_OR_97213_M11432-78291</w:t>
      </w:r>
    </w:p>
    <w:p>
      <w:pPr>
        <w:ind w:left="259" w:hanging="259"/>
      </w:pPr>
      <w:r>
        <w:rPr>
          <w:b/>
        </w:rPr>
        <w:t xml:space="preserve">W3 — </w:t>
      </w:r>
      <w:r>
        <w:t>Willamette National Cemetery / VA-derived transcription — Edgar A. DeVeny; birth 9/16/1895, death 4/24/1969. https://www.interment.net/united-states/oregon/multnomah-county/portland/willamette-national-cemetery/</w:t>
      </w:r>
    </w:p>
    <w:p>
      <w:pPr>
        <w:ind w:left="259" w:hanging="259"/>
      </w:pPr>
      <w:r>
        <w:rPr>
          <w:b/>
        </w:rPr>
        <w:t xml:space="preserve">W4 — </w:t>
      </w:r>
      <w:r>
        <w:t>Find a Grave — Fern A. Farmer DeVeny; birth 1/29/1906, death 7/18/1986; spouse Edgar Arthur DeVeny. https://fi.findagrave.com/memorial/567125/fern_a-deveny</w:t>
      </w:r>
    </w:p>
    <w:p>
      <w:pPr>
        <w:ind w:left="259" w:hanging="259"/>
      </w:pPr>
      <w:r>
        <w:rPr>
          <w:b/>
        </w:rPr>
        <w:t xml:space="preserve">W6 — </w:t>
      </w:r>
      <w:r>
        <w:t>Sunday Oregonian, 29 Sept. 1907 — George D. Schalk Jonesmore advertisement. https://oregonnews.uoregon.edu/lccn/sn83045782/1907-09-29/ed-1/seq-16/</w:t>
      </w:r>
    </w:p>
    <w:p>
      <w:pPr>
        <w:ind w:left="259" w:hanging="259"/>
      </w:pPr>
      <w:r>
        <w:rPr>
          <w:b/>
        </w:rPr>
        <w:t xml:space="preserve">W7 — </w:t>
      </w:r>
      <w:r>
        <w:t>Sunday Oregonian, 7 Apr. 1912 — North Jonesmore building activity. https://oregonnews.uoregon.edu/lccn/sn83045782/1912-04-07/ed-1/seq-61/</w:t>
      </w:r>
    </w:p>
    <w:p>
      <w:pPr>
        <w:ind w:left="259" w:hanging="259"/>
      </w:pPr>
      <w:r>
        <w:rPr>
          <w:b/>
        </w:rPr>
        <w:t xml:space="preserve">W9 — </w:t>
      </w:r>
      <w:r>
        <w:t>Multnomah County — Tax, Property, Marriage and Military Discharge Records; deed index/record-access guidance. https://multco.us/services/tax-property-marriage-and-military-discharge-records</w:t>
      </w:r>
    </w:p>
    <w:p>
      <w:pPr>
        <w:ind w:left="259" w:hanging="259"/>
      </w:pPr>
      <w:r>
        <w:rPr>
          <w:b/>
        </w:rPr>
        <w:t xml:space="preserve">W10 — </w:t>
      </w:r>
      <w:r>
        <w:t>Multnomah County Library — “Who lived in my house? Getting started”; Portland address renumbering context. https://multcolib.org/who-lived-my-house-getting-started</w:t>
      </w:r>
    </w:p>
    <w:p>
      <w:pPr>
        <w:ind w:left="259" w:hanging="259"/>
      </w:pPr>
      <w:r>
        <w:rPr>
          <w:b/>
        </w:rPr>
        <w:t xml:space="preserve">W12 — </w:t>
      </w:r>
      <w:r>
        <w:t>Find a Grave — James Benjamin DeVeny. Used only as a family-research lead, not proof of 1912 parcel ownership. https://www.findagrave.com/memorial/189773929/james-benjamin-deveny</w:t>
      </w:r>
    </w:p>
    <w:p>
      <w:pPr>
        <w:pStyle w:val="Heading1"/>
        <w:keepNext/>
      </w:pPr>
      <w:r>
        <w:t>Corrections to the Earlier House-History Notes</w:t>
      </w:r>
    </w:p>
    <w:p>
      <w:pPr>
        <w:pStyle w:val="ListBullet"/>
      </w:pPr>
      <w:r>
        <w:t>The first municipal construction evidence is September 1912, not February 1912/1913.</w:t>
      </w:r>
    </w:p>
    <w:p>
      <w:pPr>
        <w:pStyle w:val="SourceLine"/>
        <w:ind w:left="360"/>
      </w:pPr>
      <w:r>
        <w:t>Source: P1</w:t>
      </w:r>
    </w:p>
    <w:p>
      <w:pPr>
        <w:pStyle w:val="ListBullet"/>
      </w:pPr>
      <w:r>
        <w:t>The 1912 owner line reads most plausibly “Mr. J. Deveny,” not “M. J. Deveny.”</w:t>
      </w:r>
    </w:p>
    <w:p>
      <w:pPr>
        <w:pStyle w:val="SourceLine"/>
        <w:ind w:left="360"/>
      </w:pPr>
      <w:r>
        <w:t>Source: P1</w:t>
      </w:r>
    </w:p>
    <w:p>
      <w:pPr>
        <w:pStyle w:val="ListBullet"/>
      </w:pPr>
      <w:r>
        <w:t>The 1940 census, even if it shows the Edgar/Fern household, should be used primarily for occupancy and owner/renter status rather than treated as a deed transfer by itself.</w:t>
      </w:r>
    </w:p>
    <w:p>
      <w:pPr>
        <w:pStyle w:val="SourceLine"/>
        <w:ind w:left="360"/>
      </w:pPr>
      <w:r>
        <w:t>Source: C1, H1</w:t>
      </w:r>
    </w:p>
    <w:p>
      <w:pPr>
        <w:pStyle w:val="ListBullet"/>
      </w:pPr>
      <w:r>
        <w:t>Nola’s 1950 marriage was to Jack Howard Fick, not Lloyd Dowty.</w:t>
      </w:r>
    </w:p>
    <w:p>
      <w:pPr>
        <w:pStyle w:val="SourceLine"/>
        <w:ind w:left="360"/>
      </w:pPr>
      <w:r>
        <w:t>Source: N1</w:t>
      </w:r>
    </w:p>
    <w:p>
      <w:pPr>
        <w:pStyle w:val="ListBullet"/>
      </w:pPr>
      <w:r>
        <w:t>Nola married Lloyd Wallace Dowty in September 1952.</w:t>
      </w:r>
    </w:p>
    <w:p>
      <w:pPr>
        <w:pStyle w:val="SourceLine"/>
        <w:ind w:left="360"/>
      </w:pPr>
      <w:r>
        <w:t>Source: N2</w:t>
      </w:r>
    </w:p>
    <w:p>
      <w:pPr>
        <w:pStyle w:val="ListBullet"/>
      </w:pPr>
      <w:r>
        <w:t>Edgar’s 1969 funeral notices establish 1623 as his listed residence at death; they do not alone prove that he died physically inside the house.</w:t>
      </w:r>
    </w:p>
    <w:p>
      <w:pPr>
        <w:pStyle w:val="SourceLine"/>
        <w:ind w:left="360"/>
      </w:pPr>
      <w:r>
        <w:t>Source: N6, N7</w:t>
      </w:r>
    </w:p>
    <w:p>
      <w:pPr>
        <w:pStyle w:val="ListBullet"/>
      </w:pPr>
      <w:r>
        <w:t>The 1966 fuel permit documents a 275-gallon basement tank. It should not be conflated with any separate underground-storage-tank evidence.</w:t>
      </w:r>
    </w:p>
    <w:p>
      <w:pPr>
        <w:pStyle w:val="SourceLine"/>
        <w:ind w:left="360"/>
      </w:pPr>
      <w:r>
        <w:t>Source: P6</w:t>
      </w:r>
    </w:p>
    <w:p>
      <w:pPr>
        <w:pStyle w:val="ListBullet"/>
      </w:pPr>
      <w:r>
        <w:t>The 1992 sale date and price are independently supported, but the exact Nola → Wayne/Christine grantee structure still requires the deed.</w:t>
      </w:r>
    </w:p>
    <w:p>
      <w:pPr>
        <w:pStyle w:val="SourceLine"/>
        <w:ind w:left="360"/>
      </w:pPr>
      <w:r>
        <w:t>Source: W1, H1, O1</w:t>
      </w:r>
    </w:p>
    <w:p>
      <w:pPr>
        <w:spacing w:before="240"/>
      </w:pPr>
      <w:r>
        <w:rPr>
          <w:b/>
        </w:rPr>
        <w:t xml:space="preserve">Status of this edition. </w:t>
      </w:r>
      <w:r>
        <w:t>This is a working historical record, not a title report. The history is now much stronger for the DeVeny family chronology and for Edgar’s 1969 residence because of the newly recovered newspaper evidence. The remaining late-ownership and 1980s occupancy questions are documentary gaps, not reasons to discard the oral history; they are clearly separated here so future records can upgrade or revise them without rewriting the entire narrative.</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E84"/>
        <w:sz w:val="16"/>
      </w:rPr>
      <w:t>Working historical record • Updated 17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E84"/>
        <w:sz w:val="16"/>
      </w:rPr>
      <w:t>1623 NE 73rd Ave — House History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233442"/>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54C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650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3344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646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e">
    <w:name w:val="Source Line"/>
    <w:pPr>
      <w:spacing w:before="20" w:after="80"/>
    </w:pPr>
    <w:rPr>
      <w:rFonts w:ascii="Arial" w:hAnsi="Arial"/>
      <w:color w:val="555C62"/>
      <w:sz w:val="17"/>
    </w:rPr>
  </w:style>
  <w:style w:type="paragraph" w:customStyle="1" w:styleId="EvidenceNote">
    <w:name w:val="Evidence Note"/>
    <w:pPr>
      <w:spacing w:after="80"/>
      <w:ind w:left="173"/>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