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32F01" w14:textId="0043A800" w:rsidR="00F166C8" w:rsidRPr="008E48AE" w:rsidRDefault="00F166C8" w:rsidP="00F166C8">
      <w:r w:rsidRPr="008E48AE">
        <w:t xml:space="preserve">Payment fraud analytics </w:t>
      </w:r>
    </w:p>
    <w:p w14:paraId="514EF887" w14:textId="3D96820F" w:rsidR="00F166C8" w:rsidRPr="008E48AE" w:rsidRDefault="00F166C8" w:rsidP="00F166C8">
      <w:r w:rsidRPr="008E48AE">
        <w:t xml:space="preserve">Payment fraud occurs when a fraudster obtains sensitive payment information from customers or businesses and uses it for financial gain. </w:t>
      </w:r>
      <w:r w:rsidR="00984D43" w:rsidRPr="008E48AE">
        <w:t xml:space="preserve">This includes but is not limited </w:t>
      </w:r>
      <w:r w:rsidR="000C6C32" w:rsidRPr="008E48AE">
        <w:t>to</w:t>
      </w:r>
      <w:r w:rsidR="008A7885" w:rsidRPr="008E48AE">
        <w:t xml:space="preserve"> stealing credit card details </w:t>
      </w:r>
      <w:r w:rsidR="000B6B19" w:rsidRPr="008E48AE">
        <w:t xml:space="preserve">individually </w:t>
      </w:r>
      <w:r w:rsidR="0097073C" w:rsidRPr="008E48AE">
        <w:t xml:space="preserve">or through data breach of a company which </w:t>
      </w:r>
      <w:r w:rsidR="00490116" w:rsidRPr="008E48AE">
        <w:t>stores such information.</w:t>
      </w:r>
    </w:p>
    <w:p w14:paraId="0BF8C3A1" w14:textId="0AAEA599" w:rsidR="00F166C8" w:rsidRDefault="00B6353B" w:rsidP="00F166C8">
      <w:r w:rsidRPr="008E48AE">
        <w:t>In 2022, U.S. businesses faced a staggering loss of $1.59 billion due to payment fraud</w:t>
      </w:r>
      <w:r w:rsidR="00F63FB0">
        <w:fldChar w:fldCharType="begin"/>
      </w:r>
      <w:r w:rsidR="00F63FB0">
        <w:instrText xml:space="preserve"> ADDIN ZOTERO_ITEM CSL_CITATION {"citationID":"qzkZx1Lm","properties":{"formattedCitation":"(Sift, 2024)","plainCitation":"(Sift, 2024)","noteIndex":0},"citationItems":[{"id":233,"uris":["http://zotero.org/users/12722879/items/JZ6XV822"],"itemData":{"id":233,"type":"webpage","abstract":"How to evaluate payment fraud analytics and measure risk - Sift","container-title":"How to evaluate payment fraud analytics and measure risk","language":"en","title":"How to evaluate payment fraud analytics and measure risk","URL":"https://sift.com/blog/how-to-evaluate-payment-fraud-analytics-and-measure-risk","author":[{"family":"Sift","given":""}],"accessed":{"date-parts":[["2024",3,4]]},"issued":{"date-parts":[["2024",9,1]]}}}],"schema":"https://github.com/citation-style-language/schema/raw/master/csl-citation.json"} </w:instrText>
      </w:r>
      <w:r w:rsidR="00F63FB0">
        <w:fldChar w:fldCharType="separate"/>
      </w:r>
      <w:r w:rsidR="00F63FB0" w:rsidRPr="00F63FB0">
        <w:rPr>
          <w:rFonts w:ascii="Aptos" w:hAnsi="Aptos"/>
        </w:rPr>
        <w:t>(Sift, 2024)</w:t>
      </w:r>
      <w:r w:rsidR="00F63FB0">
        <w:fldChar w:fldCharType="end"/>
      </w:r>
      <w:r w:rsidRPr="008E48AE">
        <w:t>.</w:t>
      </w:r>
      <w:r w:rsidR="006C6F89" w:rsidRPr="008E48AE">
        <w:t xml:space="preserve"> </w:t>
      </w:r>
      <w:r w:rsidRPr="008E48AE">
        <w:t>It i</w:t>
      </w:r>
      <w:r w:rsidR="006C6F89" w:rsidRPr="008E48AE">
        <w:t>s</w:t>
      </w:r>
      <w:r w:rsidRPr="008E48AE">
        <w:t xml:space="preserve"> therefore in the interest of busin</w:t>
      </w:r>
      <w:r w:rsidR="00694D97" w:rsidRPr="008E48AE">
        <w:t xml:space="preserve">esses to </w:t>
      </w:r>
      <w:r w:rsidR="00360638" w:rsidRPr="008E48AE">
        <w:t xml:space="preserve">invest in ways to </w:t>
      </w:r>
      <w:r w:rsidR="00EF0F7F" w:rsidRPr="008E48AE">
        <w:t>mitigate these losses</w:t>
      </w:r>
      <w:r w:rsidR="00F166C8" w:rsidRPr="008E48AE">
        <w:t xml:space="preserve">. </w:t>
      </w:r>
    </w:p>
    <w:p w14:paraId="77320373" w14:textId="0D113343" w:rsidR="00333DAF" w:rsidRPr="008E48AE" w:rsidRDefault="00333DAF" w:rsidP="00F166C8">
      <w:r>
        <w:t xml:space="preserve">Data analytics is </w:t>
      </w:r>
      <w:r w:rsidR="00821889">
        <w:t>being used extensively</w:t>
      </w:r>
      <w:r w:rsidR="002157E3">
        <w:t xml:space="preserve"> and increasingly </w:t>
      </w:r>
      <w:r w:rsidR="00074DA7">
        <w:t xml:space="preserve">to do just time </w:t>
      </w:r>
      <w:r w:rsidR="004B5C5B">
        <w:t xml:space="preserve">in </w:t>
      </w:r>
      <w:proofErr w:type="gramStart"/>
      <w:r w:rsidR="004B5C5B">
        <w:t>a number of</w:t>
      </w:r>
      <w:proofErr w:type="gramEnd"/>
      <w:r w:rsidR="004B5C5B">
        <w:t xml:space="preserve"> </w:t>
      </w:r>
      <w:r w:rsidR="000B0DA4">
        <w:t xml:space="preserve">interrelated </w:t>
      </w:r>
      <w:r w:rsidR="00117EA6">
        <w:t>ways.</w:t>
      </w:r>
    </w:p>
    <w:p w14:paraId="3D6E4A97" w14:textId="07AABF74" w:rsidR="00CA2666" w:rsidRPr="009C514F" w:rsidRDefault="00EE0CC4" w:rsidP="00F166C8">
      <w:r w:rsidRPr="008E48AE">
        <w:t xml:space="preserve">Patterns in </w:t>
      </w:r>
      <w:r w:rsidR="007E0512" w:rsidRPr="008E48AE">
        <w:t xml:space="preserve">payment behaviour can be collected by </w:t>
      </w:r>
      <w:r w:rsidR="00657B2C" w:rsidRPr="008E48AE">
        <w:t xml:space="preserve">financial institutions </w:t>
      </w:r>
      <w:r w:rsidR="00586C74" w:rsidRPr="008E48AE">
        <w:t xml:space="preserve">themselves since they </w:t>
      </w:r>
      <w:r w:rsidR="003E3E0A" w:rsidRPr="008E48AE">
        <w:t>record the information as they process it</w:t>
      </w:r>
      <w:r w:rsidR="00F166C8" w:rsidRPr="00F10DD6">
        <w:t xml:space="preserve">. </w:t>
      </w:r>
      <w:r w:rsidR="00FC42D7">
        <w:t xml:space="preserve">There are of course enormous amounts of data to be processed. </w:t>
      </w:r>
      <w:r w:rsidR="00C23B31">
        <w:t>T</w:t>
      </w:r>
      <w:r w:rsidR="00F10DD6" w:rsidRPr="00F10DD6">
        <w:t>he</w:t>
      </w:r>
      <w:r w:rsidR="00DD3E04">
        <w:t xml:space="preserve">re </w:t>
      </w:r>
      <w:r w:rsidR="00393F8E">
        <w:t>is</w:t>
      </w:r>
      <w:r w:rsidR="00DD3E04">
        <w:t xml:space="preserve"> also</w:t>
      </w:r>
      <w:r w:rsidR="00393F8E">
        <w:t xml:space="preserve"> a</w:t>
      </w:r>
      <w:r w:rsidR="00F10DD6" w:rsidRPr="00F10DD6">
        <w:t xml:space="preserve"> very small number of actual examples of fraudulent behavio</w:t>
      </w:r>
      <w:r w:rsidR="00393F8E">
        <w:t>u</w:t>
      </w:r>
      <w:r w:rsidR="00F10DD6" w:rsidRPr="00F10DD6">
        <w:t xml:space="preserve">r </w:t>
      </w:r>
      <w:r w:rsidR="00393F8E">
        <w:t>which is</w:t>
      </w:r>
      <w:r w:rsidR="00F10DD6" w:rsidRPr="00F10DD6">
        <w:t xml:space="preserve"> comparable to finding a needle</w:t>
      </w:r>
      <w:r w:rsidR="00393F8E">
        <w:t xml:space="preserve"> of undefined shape and size</w:t>
      </w:r>
      <w:r w:rsidR="00F10DD6" w:rsidRPr="00F10DD6">
        <w:t xml:space="preserve"> in a haystack</w:t>
      </w:r>
      <w:r w:rsidR="00D96E34">
        <w:fldChar w:fldCharType="begin"/>
      </w:r>
      <w:r w:rsidR="00D96E34">
        <w:instrText xml:space="preserve"> ADDIN ZOTERO_ITEM CSL_CITATION {"citationID":"6pKpecfC","properties":{"formattedCitation":"(Boiarskaia, Albert and Lee, 2019)","plainCitation":"(Boiarskaia, Albert and Lee, 2019)","noteIndex":0},"citationItems":[{"id":237,"uris":["http://zotero.org/users/12722879/items/8B682D4Q"],"itemData":{"id":237,"type":"webpage","abstract":"Detecting financial fraud at scale using machine learning is a challenge. In this blog, we showcase how to create a machine learning data pipeline for fraud prevention and detection using decision trees, Apache Spark and MLflow on Databricks.","container-title":"Databricks","language":"en-US","title":"Detecting Financial Fraud at Scale with Decision Trees and MLflow on Databricks","URL":"https://www.databricks.com/blog/2019/05/02/detecting-financial-fraud-at-scale-with-decision-trees-and-mlflow-on-databricks.html","author":[{"family":"Boiarskaia","given":"Elena"},{"family":"Albert","given":"Navin"},{"family":"Lee","given":"Denny"}],"accessed":{"date-parts":[["2024",3,4]]},"issued":{"date-parts":[["2019",5,2]]}}}],"schema":"https://github.com/citation-style-language/schema/raw/master/csl-citation.json"} </w:instrText>
      </w:r>
      <w:r w:rsidR="00D96E34">
        <w:fldChar w:fldCharType="separate"/>
      </w:r>
      <w:r w:rsidR="00D96E34" w:rsidRPr="00D96E34">
        <w:rPr>
          <w:rFonts w:ascii="Aptos" w:hAnsi="Aptos"/>
        </w:rPr>
        <w:t>(</w:t>
      </w:r>
      <w:proofErr w:type="spellStart"/>
      <w:r w:rsidR="00D96E34" w:rsidRPr="00D96E34">
        <w:rPr>
          <w:rFonts w:ascii="Aptos" w:hAnsi="Aptos"/>
        </w:rPr>
        <w:t>Boiarskaia</w:t>
      </w:r>
      <w:proofErr w:type="spellEnd"/>
      <w:r w:rsidR="00D96E34" w:rsidRPr="00D96E34">
        <w:rPr>
          <w:rFonts w:ascii="Aptos" w:hAnsi="Aptos"/>
        </w:rPr>
        <w:t>, Albert and Lee, 2019)</w:t>
      </w:r>
      <w:r w:rsidR="00D96E34">
        <w:fldChar w:fldCharType="end"/>
      </w:r>
      <w:r w:rsidR="00F10DD6" w:rsidRPr="00F10DD6">
        <w:t>.</w:t>
      </w:r>
      <w:r w:rsidR="00F10DD6">
        <w:rPr>
          <w:rFonts w:ascii="DM Sans" w:hAnsi="DM Sans"/>
          <w:color w:val="1B3139"/>
          <w:sz w:val="30"/>
          <w:szCs w:val="30"/>
        </w:rPr>
        <w:t xml:space="preserve"> </w:t>
      </w:r>
      <w:r w:rsidR="00904D44">
        <w:t>That said</w:t>
      </w:r>
      <w:r w:rsidR="006C6F89">
        <w:t xml:space="preserve">, details such as transaction amount, </w:t>
      </w:r>
      <w:r w:rsidR="00294132">
        <w:t xml:space="preserve">geographic </w:t>
      </w:r>
      <w:r w:rsidR="006C6F89">
        <w:t>location, time</w:t>
      </w:r>
      <w:r w:rsidR="00294132">
        <w:t xml:space="preserve"> and frequency of transactions</w:t>
      </w:r>
      <w:r w:rsidR="006C6F89">
        <w:t xml:space="preserve">, </w:t>
      </w:r>
      <w:r w:rsidR="00294132">
        <w:t>preferred merchant types</w:t>
      </w:r>
      <w:r w:rsidR="006C6F89">
        <w:t>, and type of purchase</w:t>
      </w:r>
      <w:r w:rsidR="00AA2E78">
        <w:t xml:space="preserve"> can be recorded by</w:t>
      </w:r>
      <w:r w:rsidR="00F704A2">
        <w:t xml:space="preserve"> financial </w:t>
      </w:r>
      <w:r w:rsidR="0007205E">
        <w:t>institutions</w:t>
      </w:r>
      <w:r w:rsidR="00F704A2">
        <w:t xml:space="preserve"> </w:t>
      </w:r>
      <w:r w:rsidR="0007205E">
        <w:t>interested in examining</w:t>
      </w:r>
      <w:r w:rsidR="00142302">
        <w:t xml:space="preserve"> normal behaviour</w:t>
      </w:r>
      <w:r w:rsidR="0007205E">
        <w:t xml:space="preserve"> </w:t>
      </w:r>
      <w:r w:rsidR="00294132">
        <w:t>and</w:t>
      </w:r>
      <w:r w:rsidR="0007205E">
        <w:t xml:space="preserve"> fraud</w:t>
      </w:r>
      <w:r w:rsidR="00294132">
        <w:t>ulent behaviour</w:t>
      </w:r>
      <w:r w:rsidR="0007205E">
        <w:t xml:space="preserve"> patterns</w:t>
      </w:r>
      <w:r w:rsidR="006C6F89">
        <w:t xml:space="preserve">. </w:t>
      </w:r>
    </w:p>
    <w:p w14:paraId="26EB514F" w14:textId="4AEE9B7C" w:rsidR="00A061C3" w:rsidRDefault="00A061C3" w:rsidP="00294132">
      <w:r>
        <w:t xml:space="preserve">Unsupervised machine learning techniques </w:t>
      </w:r>
      <w:r w:rsidR="00EB2DE2">
        <w:t>are currently</w:t>
      </w:r>
      <w:r>
        <w:t xml:space="preserve"> </w:t>
      </w:r>
      <w:r w:rsidR="00693748">
        <w:t xml:space="preserve">used to </w:t>
      </w:r>
      <w:r>
        <w:t>identify patterns that deviate from normal behaviour without labelled data.</w:t>
      </w:r>
    </w:p>
    <w:p w14:paraId="3734F14A" w14:textId="7939D235" w:rsidR="00693748" w:rsidRDefault="00693748" w:rsidP="00294132">
      <w:r>
        <w:t xml:space="preserve">Profiles for </w:t>
      </w:r>
      <w:r w:rsidR="008D0110">
        <w:t>individual</w:t>
      </w:r>
      <w:r>
        <w:t xml:space="preserve"> credit card holder</w:t>
      </w:r>
      <w:r w:rsidR="008D0110">
        <w:t xml:space="preserve">s can be </w:t>
      </w:r>
      <w:r w:rsidR="00745D0F">
        <w:t>created</w:t>
      </w:r>
      <w:r>
        <w:t xml:space="preserve"> by </w:t>
      </w:r>
      <w:r w:rsidR="00FA479F">
        <w:t xml:space="preserve">studying their normal </w:t>
      </w:r>
      <w:r w:rsidR="00A3317B">
        <w:t>payments</w:t>
      </w:r>
      <w:r w:rsidR="004C2AA3">
        <w:fldChar w:fldCharType="begin"/>
      </w:r>
      <w:r w:rsidR="004C2AA3">
        <w:instrText xml:space="preserve"> ADDIN ZOTERO_ITEM CSL_CITATION {"citationID":"ah5SipkK","properties":{"formattedCitation":"(Budd, no date)","plainCitation":"(Budd, no date)","noteIndex":0},"citationItems":[{"id":242,"uris":["http://zotero.org/users/12722879/items/J9MBXRFI"],"itemData":{"id":242,"type":"article-journal","language":"en","source":"Zotero","title":"Modelling credit card usage for individual card-holders","author":[{"family":"Budd","given":"Jonathan"}]}}],"schema":"https://github.com/citation-style-language/schema/raw/master/csl-citation.json"} </w:instrText>
      </w:r>
      <w:r w:rsidR="004C2AA3">
        <w:fldChar w:fldCharType="separate"/>
      </w:r>
      <w:r w:rsidR="004C2AA3" w:rsidRPr="004C2AA3">
        <w:rPr>
          <w:rFonts w:ascii="Aptos" w:hAnsi="Aptos"/>
        </w:rPr>
        <w:t xml:space="preserve">(Budd, </w:t>
      </w:r>
      <w:r w:rsidR="008635AB">
        <w:rPr>
          <w:rFonts w:ascii="Aptos" w:hAnsi="Aptos"/>
        </w:rPr>
        <w:t>2016</w:t>
      </w:r>
      <w:r w:rsidR="004C2AA3" w:rsidRPr="004C2AA3">
        <w:rPr>
          <w:rFonts w:ascii="Aptos" w:hAnsi="Aptos"/>
        </w:rPr>
        <w:t>)</w:t>
      </w:r>
      <w:r w:rsidR="004C2AA3">
        <w:fldChar w:fldCharType="end"/>
      </w:r>
      <w:r>
        <w:t xml:space="preserve">. </w:t>
      </w:r>
    </w:p>
    <w:p w14:paraId="1D60E8A0" w14:textId="5CCA85D2" w:rsidR="00627EEC" w:rsidRDefault="00114218" w:rsidP="00294132">
      <w:r>
        <w:t xml:space="preserve">Supervised machine learning can be used to </w:t>
      </w:r>
      <w:r w:rsidR="005D0ED2">
        <w:t>train a detection model</w:t>
      </w:r>
      <w:r w:rsidR="00E708EB">
        <w:t xml:space="preserve"> </w:t>
      </w:r>
      <w:r w:rsidR="00967194">
        <w:t>using the</w:t>
      </w:r>
      <w:r w:rsidR="00A85A41">
        <w:t xml:space="preserve"> </w:t>
      </w:r>
      <w:r>
        <w:t>historical data</w:t>
      </w:r>
      <w:r w:rsidR="00A85A41">
        <w:t xml:space="preserve"> available to payment processors</w:t>
      </w:r>
      <w:r w:rsidR="00FC42C4">
        <w:t xml:space="preserve">. </w:t>
      </w:r>
      <w:r w:rsidR="00054BEF">
        <w:t xml:space="preserve">This in turn can be used </w:t>
      </w:r>
      <w:r w:rsidR="00C54F35">
        <w:t>when processing payments</w:t>
      </w:r>
      <w:r w:rsidR="00054BEF">
        <w:t xml:space="preserve"> </w:t>
      </w:r>
      <w:r w:rsidR="00C54F35">
        <w:t>to permit or deny transactions in real-time.</w:t>
      </w:r>
    </w:p>
    <w:p w14:paraId="1D180E89" w14:textId="7CE56ACB" w:rsidR="00E01844" w:rsidRDefault="00E01844" w:rsidP="00294132">
      <w:r>
        <w:t>In this way, anything that falls outside the norm for an individual card holder, such as a sudden increase in transaction frequency, large transactions, or transactions in unfamiliar locations, may result in prohibited transactions.</w:t>
      </w:r>
    </w:p>
    <w:p w14:paraId="29DC6C6E" w14:textId="665D26AD" w:rsidR="000675D3" w:rsidRDefault="00B033EB" w:rsidP="00294132">
      <w:r>
        <w:t xml:space="preserve">Below is an example of </w:t>
      </w:r>
      <w:r w:rsidR="00930E42">
        <w:t xml:space="preserve">a decision tree which can be used to monitor, </w:t>
      </w:r>
      <w:proofErr w:type="gramStart"/>
      <w:r w:rsidR="00930E42">
        <w:t>permit</w:t>
      </w:r>
      <w:proofErr w:type="gramEnd"/>
      <w:r w:rsidR="00930E42">
        <w:t xml:space="preserve"> or deny payments </w:t>
      </w:r>
      <w:r w:rsidR="00E52C16">
        <w:t>made by individual card owners.</w:t>
      </w:r>
    </w:p>
    <w:p w14:paraId="1E448664" w14:textId="144A5826" w:rsidR="000675D3" w:rsidRDefault="000675D3" w:rsidP="00294132"/>
    <w:p w14:paraId="0D21CB7A" w14:textId="0E582084" w:rsidR="00B63E79" w:rsidRDefault="00B63E79" w:rsidP="00294132">
      <w:r>
        <w:rPr>
          <w:noProof/>
        </w:rPr>
        <w:drawing>
          <wp:inline distT="0" distB="0" distL="0" distR="0" wp14:anchorId="302F1BCB" wp14:editId="11DD1A49">
            <wp:extent cx="5731510" cy="2381250"/>
            <wp:effectExtent l="0" t="0" r="2540" b="0"/>
            <wp:docPr id="15726183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18321" name="Picture 1" descr="A diagram of a netwo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2749540C" w14:textId="15AC83C2" w:rsidR="003A279C" w:rsidRDefault="000675D3" w:rsidP="00294132">
      <w:r>
        <w:t>Each node in the decision tree asks the question</w:t>
      </w:r>
      <w:r w:rsidR="00C172FF">
        <w:t xml:space="preserve">, is this behaviour typical of an individual </w:t>
      </w:r>
      <w:r w:rsidR="001F6479">
        <w:t>customer? In each case, if the answer is no, the payment will not proceed.</w:t>
      </w:r>
    </w:p>
    <w:p w14:paraId="72B34A35" w14:textId="02DA8D1F" w:rsidR="00BA4C9C" w:rsidRDefault="00BA4C9C" w:rsidP="00294132">
      <w:r>
        <w:t>Of course</w:t>
      </w:r>
      <w:r w:rsidR="003843C0">
        <w:t xml:space="preserve">, this is a simplistic view. </w:t>
      </w:r>
      <w:r w:rsidR="005D6F9E">
        <w:t xml:space="preserve">More accurately, </w:t>
      </w:r>
      <w:r w:rsidR="009416C2">
        <w:t xml:space="preserve">nodes </w:t>
      </w:r>
      <w:r w:rsidR="001B78AC">
        <w:t>would be assigned a</w:t>
      </w:r>
      <w:r w:rsidR="00B94112">
        <w:t>n aggregating</w:t>
      </w:r>
      <w:r w:rsidR="001B78AC">
        <w:t xml:space="preserve"> value depending on their outcome</w:t>
      </w:r>
      <w:r w:rsidR="00B94112">
        <w:t>,</w:t>
      </w:r>
      <w:r w:rsidR="001B78AC">
        <w:t xml:space="preserve"> which would be weighed against a predefined threshold</w:t>
      </w:r>
      <w:r w:rsidR="0074063E">
        <w:t xml:space="preserve">. </w:t>
      </w:r>
      <w:r w:rsidR="001F5CBA">
        <w:t>I</w:t>
      </w:r>
      <w:r w:rsidR="00B94112">
        <w:t>f the final value is greater than the threshold</w:t>
      </w:r>
      <w:r w:rsidR="001863F8">
        <w:t xml:space="preserve">, the payment will not </w:t>
      </w:r>
      <w:r w:rsidR="009248C4">
        <w:t>proceed</w:t>
      </w:r>
      <w:r w:rsidR="00225B5A">
        <w:t>.</w:t>
      </w:r>
      <w:r w:rsidR="00890DD4">
        <w:t xml:space="preserve"> </w:t>
      </w:r>
      <w:r w:rsidR="009C0403">
        <w:t xml:space="preserve">It might look something like the </w:t>
      </w:r>
      <w:r w:rsidR="002E17DE">
        <w:t>graphic below</w:t>
      </w:r>
      <w:r w:rsidR="0084042E">
        <w:t xml:space="preserve"> </w:t>
      </w:r>
      <w:r w:rsidR="00D5742C">
        <w:fldChar w:fldCharType="begin"/>
      </w:r>
      <w:r w:rsidR="00D5742C">
        <w:instrText xml:space="preserve"> ADDIN ZOTERO_ITEM CSL_CITATION {"citationID":"KqLnKAod","properties":{"formattedCitation":"(Fraud.net, 2024)","plainCitation":"(Fraud.net, 2024)","noteIndex":0},"citationItems":[{"id":239,"uris":["http://zotero.org/users/12722879/items/2EG26XAV"],"itemData":{"id":239,"type":"webpage","abstract":"A Fraud Score is an informational tool that helps you gauge risk involved with orders before processing by identifying traits and trends.","container-title":"Fraud.net","language":"en-US","title":"Fraud Score","URL":"https://fraud.net/d/fraud-score/","author":[{"family":"Fraud.net","given":""}],"accessed":{"date-parts":[["2024",3,4]]},"issued":{"date-parts":[["2024"]]}}}],"schema":"https://github.com/citation-style-language/schema/raw/master/csl-citation.json"} </w:instrText>
      </w:r>
      <w:r w:rsidR="00D5742C">
        <w:fldChar w:fldCharType="separate"/>
      </w:r>
      <w:r w:rsidR="00D5742C" w:rsidRPr="00D5742C">
        <w:rPr>
          <w:rFonts w:ascii="Aptos" w:hAnsi="Aptos"/>
        </w:rPr>
        <w:t>(Fraud.net, 2024)</w:t>
      </w:r>
      <w:r w:rsidR="00D5742C">
        <w:fldChar w:fldCharType="end"/>
      </w:r>
      <w:r w:rsidR="002E17DE">
        <w:t>.</w:t>
      </w:r>
    </w:p>
    <w:p w14:paraId="5FAD446A" w14:textId="0FEFD759" w:rsidR="002E17DE" w:rsidRDefault="002E17DE" w:rsidP="00294132">
      <w:r>
        <w:rPr>
          <w:noProof/>
        </w:rPr>
        <w:drawing>
          <wp:inline distT="0" distB="0" distL="0" distR="0" wp14:anchorId="0242970A" wp14:editId="03603AB3">
            <wp:extent cx="5731510" cy="4298950"/>
            <wp:effectExtent l="0" t="0" r="2540" b="6350"/>
            <wp:docPr id="443932369" name="Picture 2" descr="Fraud Score Infographic Fraud.n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ud Score Infographic Fraud.n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41D594C" w14:textId="403E3C12" w:rsidR="006B2054" w:rsidRDefault="00AD2EDF" w:rsidP="00294132">
      <w:r>
        <w:t xml:space="preserve">As mentioned before, </w:t>
      </w:r>
      <w:r w:rsidR="006F7E4B">
        <w:t>also a</w:t>
      </w:r>
      <w:r w:rsidR="006F7E4B" w:rsidRPr="00F10DD6">
        <w:t xml:space="preserve"> very small </w:t>
      </w:r>
      <w:r w:rsidR="006F7E4B">
        <w:t>amount</w:t>
      </w:r>
      <w:r w:rsidR="006F7E4B" w:rsidRPr="00F10DD6">
        <w:t xml:space="preserve"> of </w:t>
      </w:r>
      <w:r w:rsidR="008A50B8">
        <w:t>data con</w:t>
      </w:r>
      <w:r w:rsidR="00FF3692">
        <w:t xml:space="preserve">taining </w:t>
      </w:r>
      <w:r w:rsidR="006F7E4B" w:rsidRPr="00F10DD6">
        <w:t>actual fraudulent behavio</w:t>
      </w:r>
      <w:r w:rsidR="006F7E4B">
        <w:t>u</w:t>
      </w:r>
      <w:r w:rsidR="006F7E4B" w:rsidRPr="00F10DD6">
        <w:t xml:space="preserve">r </w:t>
      </w:r>
      <w:r w:rsidR="00FF3692">
        <w:t xml:space="preserve">exists. </w:t>
      </w:r>
      <w:r w:rsidR="006B2054" w:rsidRPr="006B2054">
        <w:t xml:space="preserve">To </w:t>
      </w:r>
      <w:r w:rsidR="00FF3692">
        <w:t>discern normal</w:t>
      </w:r>
      <w:r w:rsidR="00981E42">
        <w:t xml:space="preserve"> behaviour</w:t>
      </w:r>
      <w:r w:rsidR="006B2054" w:rsidRPr="006B2054">
        <w:t xml:space="preserve"> patterns experts </w:t>
      </w:r>
      <w:r w:rsidR="00966234">
        <w:t>will define</w:t>
      </w:r>
      <w:r w:rsidR="006B2054" w:rsidRPr="006B2054">
        <w:t xml:space="preserve"> with a set of rules based on </w:t>
      </w:r>
      <w:r w:rsidR="00966234">
        <w:t>what fraud normally looks like</w:t>
      </w:r>
      <w:r w:rsidR="00D46693">
        <w:t xml:space="preserve">. </w:t>
      </w:r>
      <w:r w:rsidR="00D42BC8">
        <w:t xml:space="preserve">This has led to </w:t>
      </w:r>
      <w:r w:rsidR="00B9752B">
        <w:t xml:space="preserve">a </w:t>
      </w:r>
      <w:r w:rsidR="007141F0">
        <w:t>rule-based</w:t>
      </w:r>
      <w:r w:rsidR="00B9752B">
        <w:t xml:space="preserve"> system consisting of </w:t>
      </w:r>
      <w:r w:rsidR="00B9752B" w:rsidRPr="00B9752B">
        <w:t>predefined criteria</w:t>
      </w:r>
      <w:r w:rsidR="00B9752B">
        <w:t xml:space="preserve"> </w:t>
      </w:r>
      <w:r w:rsidR="006D639E">
        <w:t>determining whether transactions will be allowed or denied.</w:t>
      </w:r>
    </w:p>
    <w:p w14:paraId="7BBFC976" w14:textId="6CBC6BC8" w:rsidR="003A1B32" w:rsidRDefault="003A1B32" w:rsidP="00D56FD2">
      <w:r>
        <w:t xml:space="preserve">As </w:t>
      </w:r>
      <w:r w:rsidR="00D451E6">
        <w:t xml:space="preserve">new </w:t>
      </w:r>
      <w:r>
        <w:t>methods of committing fraud emerge</w:t>
      </w:r>
      <w:r w:rsidR="00D451E6">
        <w:t xml:space="preserve">, </w:t>
      </w:r>
      <w:r w:rsidR="0025689A">
        <w:t xml:space="preserve">constant analysis </w:t>
      </w:r>
      <w:r w:rsidR="00BF27C7">
        <w:t xml:space="preserve">is required so that </w:t>
      </w:r>
      <w:r w:rsidR="00CF65D0">
        <w:t>detection</w:t>
      </w:r>
      <w:r w:rsidR="00BF27C7">
        <w:t xml:space="preserve"> systems </w:t>
      </w:r>
      <w:r w:rsidR="00CF65D0">
        <w:t xml:space="preserve">evolve to meet current </w:t>
      </w:r>
      <w:r w:rsidR="006C195A">
        <w:t xml:space="preserve">demands. </w:t>
      </w:r>
      <w:r w:rsidR="00227478">
        <w:t xml:space="preserve">Continuous analysis of current data takes place </w:t>
      </w:r>
      <w:r w:rsidR="00C15209">
        <w:t xml:space="preserve">to </w:t>
      </w:r>
      <w:r w:rsidR="00793619">
        <w:t xml:space="preserve">try to stay ahead of </w:t>
      </w:r>
      <w:r w:rsidR="00DC4B58">
        <w:t>fraudsters</w:t>
      </w:r>
      <w:r w:rsidR="00A223F7">
        <w:t xml:space="preserve">. </w:t>
      </w:r>
      <w:r w:rsidR="002001C6">
        <w:t xml:space="preserve">At the same time, </w:t>
      </w:r>
      <w:r w:rsidR="00D67801">
        <w:t xml:space="preserve">considerable </w:t>
      </w:r>
      <w:r w:rsidR="00FD6174">
        <w:t xml:space="preserve">collaboration </w:t>
      </w:r>
      <w:r w:rsidR="00947FD4">
        <w:t xml:space="preserve">between </w:t>
      </w:r>
      <w:r w:rsidR="00FE0FB8">
        <w:t>financial institution</w:t>
      </w:r>
      <w:r w:rsidR="00F7749A">
        <w:t>s, technology</w:t>
      </w:r>
      <w:r w:rsidR="00D9573C">
        <w:t xml:space="preserve"> organisations and others </w:t>
      </w:r>
      <w:r w:rsidR="00760837">
        <w:t xml:space="preserve">also contribute to </w:t>
      </w:r>
      <w:r w:rsidR="007141F0">
        <w:t xml:space="preserve">an </w:t>
      </w:r>
      <w:r w:rsidR="00B033EB">
        <w:t>ever-evolving</w:t>
      </w:r>
      <w:r w:rsidR="007141F0">
        <w:t xml:space="preserve"> rules list.</w:t>
      </w:r>
    </w:p>
    <w:p w14:paraId="175BE1AD" w14:textId="75393541" w:rsidR="00D56FD2" w:rsidRDefault="007141F0" w:rsidP="00D56FD2">
      <w:r>
        <w:t xml:space="preserve">This has </w:t>
      </w:r>
      <w:r w:rsidR="00B767A8">
        <w:t xml:space="preserve">resulted in innovations like two-factor and biometric authentication </w:t>
      </w:r>
      <w:r w:rsidR="00330CB5">
        <w:t xml:space="preserve">being used to avoid fraud. For instance, relatively recently many institutions have </w:t>
      </w:r>
      <w:r w:rsidR="00A718AC">
        <w:t xml:space="preserve">begun using push notifications on customers </w:t>
      </w:r>
      <w:r w:rsidR="00D67485">
        <w:t>mobile devices to confirm the validity of payments.</w:t>
      </w:r>
    </w:p>
    <w:p w14:paraId="66407C16" w14:textId="3AED74ED" w:rsidR="004D0037" w:rsidRDefault="00D56FD2" w:rsidP="00D56FD2">
      <w:r>
        <w:t>By combining these approaches, financial institutions can create robust credit card fraud detection systems that effectively identify and prevent fraudulent activities while minimizing false positives. The integration of advanced technologies, such as artificial intelligence and machine learning, further enhances the accuracy and efficiency of these systems.</w:t>
      </w:r>
    </w:p>
    <w:p w14:paraId="5D4D6EBE" w14:textId="666F47BB" w:rsidR="00DD6966" w:rsidRDefault="00DD6966" w:rsidP="00D56FD2">
      <w:r>
        <w:t>References:</w:t>
      </w:r>
    </w:p>
    <w:p w14:paraId="15089A7E"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proofErr w:type="spellStart"/>
      <w:r w:rsidRPr="003355B0">
        <w:rPr>
          <w:rFonts w:ascii="Times New Roman" w:eastAsia="Times New Roman" w:hAnsi="Times New Roman" w:cs="Times New Roman"/>
          <w:kern w:val="0"/>
          <w:sz w:val="24"/>
          <w:szCs w:val="24"/>
          <w:lang w:eastAsia="en-IE"/>
          <w14:ligatures w14:val="none"/>
        </w:rPr>
        <w:t>Boiarskaia</w:t>
      </w:r>
      <w:proofErr w:type="spellEnd"/>
      <w:r w:rsidRPr="003355B0">
        <w:rPr>
          <w:rFonts w:ascii="Times New Roman" w:eastAsia="Times New Roman" w:hAnsi="Times New Roman" w:cs="Times New Roman"/>
          <w:kern w:val="0"/>
          <w:sz w:val="24"/>
          <w:szCs w:val="24"/>
          <w:lang w:eastAsia="en-IE"/>
          <w14:ligatures w14:val="none"/>
        </w:rPr>
        <w:t xml:space="preserve">, E., Albert, N. and Lee, D. (2019) </w:t>
      </w:r>
      <w:r w:rsidRPr="003355B0">
        <w:rPr>
          <w:rFonts w:ascii="Times New Roman" w:eastAsia="Times New Roman" w:hAnsi="Times New Roman" w:cs="Times New Roman"/>
          <w:i/>
          <w:iCs/>
          <w:kern w:val="0"/>
          <w:sz w:val="24"/>
          <w:szCs w:val="24"/>
          <w:lang w:eastAsia="en-IE"/>
          <w14:ligatures w14:val="none"/>
        </w:rPr>
        <w:t xml:space="preserve">Detecting Financial Fraud at Scale with Decision Trees and </w:t>
      </w:r>
      <w:proofErr w:type="spellStart"/>
      <w:r w:rsidRPr="003355B0">
        <w:rPr>
          <w:rFonts w:ascii="Times New Roman" w:eastAsia="Times New Roman" w:hAnsi="Times New Roman" w:cs="Times New Roman"/>
          <w:i/>
          <w:iCs/>
          <w:kern w:val="0"/>
          <w:sz w:val="24"/>
          <w:szCs w:val="24"/>
          <w:lang w:eastAsia="en-IE"/>
          <w14:ligatures w14:val="none"/>
        </w:rPr>
        <w:t>MLflow</w:t>
      </w:r>
      <w:proofErr w:type="spellEnd"/>
      <w:r w:rsidRPr="003355B0">
        <w:rPr>
          <w:rFonts w:ascii="Times New Roman" w:eastAsia="Times New Roman" w:hAnsi="Times New Roman" w:cs="Times New Roman"/>
          <w:i/>
          <w:iCs/>
          <w:kern w:val="0"/>
          <w:sz w:val="24"/>
          <w:szCs w:val="24"/>
          <w:lang w:eastAsia="en-IE"/>
          <w14:ligatures w14:val="none"/>
        </w:rPr>
        <w:t xml:space="preserve"> on Databricks</w:t>
      </w:r>
      <w:r w:rsidRPr="003355B0">
        <w:rPr>
          <w:rFonts w:ascii="Times New Roman" w:eastAsia="Times New Roman" w:hAnsi="Times New Roman" w:cs="Times New Roman"/>
          <w:kern w:val="0"/>
          <w:sz w:val="24"/>
          <w:szCs w:val="24"/>
          <w:lang w:eastAsia="en-IE"/>
          <w14:ligatures w14:val="none"/>
        </w:rPr>
        <w:t xml:space="preserve">, </w:t>
      </w:r>
      <w:r w:rsidRPr="003355B0">
        <w:rPr>
          <w:rFonts w:ascii="Times New Roman" w:eastAsia="Times New Roman" w:hAnsi="Times New Roman" w:cs="Times New Roman"/>
          <w:i/>
          <w:iCs/>
          <w:kern w:val="0"/>
          <w:sz w:val="24"/>
          <w:szCs w:val="24"/>
          <w:lang w:eastAsia="en-IE"/>
          <w14:ligatures w14:val="none"/>
        </w:rPr>
        <w:t>Databricks</w:t>
      </w:r>
      <w:r w:rsidRPr="003355B0">
        <w:rPr>
          <w:rFonts w:ascii="Times New Roman" w:eastAsia="Times New Roman" w:hAnsi="Times New Roman" w:cs="Times New Roman"/>
          <w:kern w:val="0"/>
          <w:sz w:val="24"/>
          <w:szCs w:val="24"/>
          <w:lang w:eastAsia="en-IE"/>
          <w14:ligatures w14:val="none"/>
        </w:rPr>
        <w:t xml:space="preserve">. Available at: </w:t>
      </w:r>
      <w:hyperlink r:id="rId7" w:history="1">
        <w:r w:rsidRPr="003355B0">
          <w:rPr>
            <w:rFonts w:ascii="Times New Roman" w:eastAsia="Times New Roman" w:hAnsi="Times New Roman" w:cs="Times New Roman"/>
            <w:color w:val="0000FF"/>
            <w:kern w:val="0"/>
            <w:sz w:val="24"/>
            <w:szCs w:val="24"/>
            <w:u w:val="single"/>
            <w:lang w:eastAsia="en-IE"/>
            <w14:ligatures w14:val="none"/>
          </w:rPr>
          <w:t>https://www.databricks.com/blog/2019/05/02/detecting-financial-fraud-at-scale-with-decision-trees-and-mlflow-on-databricks.html</w:t>
        </w:r>
      </w:hyperlink>
      <w:r w:rsidRPr="003355B0">
        <w:rPr>
          <w:rFonts w:ascii="Times New Roman" w:eastAsia="Times New Roman" w:hAnsi="Times New Roman" w:cs="Times New Roman"/>
          <w:kern w:val="0"/>
          <w:sz w:val="24"/>
          <w:szCs w:val="24"/>
          <w:lang w:eastAsia="en-IE"/>
          <w14:ligatures w14:val="none"/>
        </w:rPr>
        <w:t xml:space="preserve"> (Accessed: 4 March 2024).</w:t>
      </w:r>
    </w:p>
    <w:p w14:paraId="061B9C9C"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 xml:space="preserve">Budd, J. (2016) ‘Modelling credit card usage for individual </w:t>
      </w:r>
      <w:proofErr w:type="gramStart"/>
      <w:r w:rsidRPr="003355B0">
        <w:rPr>
          <w:rFonts w:ascii="Times New Roman" w:eastAsia="Times New Roman" w:hAnsi="Times New Roman" w:cs="Times New Roman"/>
          <w:kern w:val="0"/>
          <w:sz w:val="24"/>
          <w:szCs w:val="24"/>
          <w:lang w:eastAsia="en-IE"/>
          <w14:ligatures w14:val="none"/>
        </w:rPr>
        <w:t>card-holders</w:t>
      </w:r>
      <w:proofErr w:type="gramEnd"/>
      <w:r w:rsidRPr="003355B0">
        <w:rPr>
          <w:rFonts w:ascii="Times New Roman" w:eastAsia="Times New Roman" w:hAnsi="Times New Roman" w:cs="Times New Roman"/>
          <w:kern w:val="0"/>
          <w:sz w:val="24"/>
          <w:szCs w:val="24"/>
          <w:lang w:eastAsia="en-IE"/>
          <w14:ligatures w14:val="none"/>
        </w:rPr>
        <w:t>’.</w:t>
      </w:r>
    </w:p>
    <w:p w14:paraId="6C53AF10"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 xml:space="preserve">Fatima, A. (2022) ‘Data Analysis for detecting Credit Card Fraud’, </w:t>
      </w:r>
      <w:r w:rsidRPr="003355B0">
        <w:rPr>
          <w:rFonts w:ascii="Times New Roman" w:eastAsia="Times New Roman" w:hAnsi="Times New Roman" w:cs="Times New Roman"/>
          <w:i/>
          <w:iCs/>
          <w:kern w:val="0"/>
          <w:sz w:val="24"/>
          <w:szCs w:val="24"/>
          <w:lang w:eastAsia="en-IE"/>
          <w14:ligatures w14:val="none"/>
        </w:rPr>
        <w:t>Medium</w:t>
      </w:r>
      <w:r w:rsidRPr="003355B0">
        <w:rPr>
          <w:rFonts w:ascii="Times New Roman" w:eastAsia="Times New Roman" w:hAnsi="Times New Roman" w:cs="Times New Roman"/>
          <w:kern w:val="0"/>
          <w:sz w:val="24"/>
          <w:szCs w:val="24"/>
          <w:lang w:eastAsia="en-IE"/>
          <w14:ligatures w14:val="none"/>
        </w:rPr>
        <w:t xml:space="preserve">, 1 October. Available at: </w:t>
      </w:r>
      <w:hyperlink r:id="rId8" w:history="1">
        <w:r w:rsidRPr="003355B0">
          <w:rPr>
            <w:rFonts w:ascii="Times New Roman" w:eastAsia="Times New Roman" w:hAnsi="Times New Roman" w:cs="Times New Roman"/>
            <w:color w:val="0000FF"/>
            <w:kern w:val="0"/>
            <w:sz w:val="24"/>
            <w:szCs w:val="24"/>
            <w:u w:val="single"/>
            <w:lang w:eastAsia="en-IE"/>
            <w14:ligatures w14:val="none"/>
          </w:rPr>
          <w:t>https://aliya-fatima.medium.com/data-analysis-for-detecting-credit-card-fraud-f55d33c091b3</w:t>
        </w:r>
      </w:hyperlink>
      <w:r w:rsidRPr="003355B0">
        <w:rPr>
          <w:rFonts w:ascii="Times New Roman" w:eastAsia="Times New Roman" w:hAnsi="Times New Roman" w:cs="Times New Roman"/>
          <w:kern w:val="0"/>
          <w:sz w:val="24"/>
          <w:szCs w:val="24"/>
          <w:lang w:eastAsia="en-IE"/>
          <w14:ligatures w14:val="none"/>
        </w:rPr>
        <w:t xml:space="preserve"> (Accessed: 8 February 2024).</w:t>
      </w:r>
    </w:p>
    <w:p w14:paraId="616FE0F6"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 xml:space="preserve">Fraud.net (2024) </w:t>
      </w:r>
      <w:r w:rsidRPr="003355B0">
        <w:rPr>
          <w:rFonts w:ascii="Times New Roman" w:eastAsia="Times New Roman" w:hAnsi="Times New Roman" w:cs="Times New Roman"/>
          <w:i/>
          <w:iCs/>
          <w:kern w:val="0"/>
          <w:sz w:val="24"/>
          <w:szCs w:val="24"/>
          <w:lang w:eastAsia="en-IE"/>
          <w14:ligatures w14:val="none"/>
        </w:rPr>
        <w:t>Fraud Score</w:t>
      </w:r>
      <w:r w:rsidRPr="003355B0">
        <w:rPr>
          <w:rFonts w:ascii="Times New Roman" w:eastAsia="Times New Roman" w:hAnsi="Times New Roman" w:cs="Times New Roman"/>
          <w:kern w:val="0"/>
          <w:sz w:val="24"/>
          <w:szCs w:val="24"/>
          <w:lang w:eastAsia="en-IE"/>
          <w14:ligatures w14:val="none"/>
        </w:rPr>
        <w:t xml:space="preserve">, </w:t>
      </w:r>
      <w:r w:rsidRPr="003355B0">
        <w:rPr>
          <w:rFonts w:ascii="Times New Roman" w:eastAsia="Times New Roman" w:hAnsi="Times New Roman" w:cs="Times New Roman"/>
          <w:i/>
          <w:iCs/>
          <w:kern w:val="0"/>
          <w:sz w:val="24"/>
          <w:szCs w:val="24"/>
          <w:lang w:eastAsia="en-IE"/>
          <w14:ligatures w14:val="none"/>
        </w:rPr>
        <w:t>Fraud.net</w:t>
      </w:r>
      <w:r w:rsidRPr="003355B0">
        <w:rPr>
          <w:rFonts w:ascii="Times New Roman" w:eastAsia="Times New Roman" w:hAnsi="Times New Roman" w:cs="Times New Roman"/>
          <w:kern w:val="0"/>
          <w:sz w:val="24"/>
          <w:szCs w:val="24"/>
          <w:lang w:eastAsia="en-IE"/>
          <w14:ligatures w14:val="none"/>
        </w:rPr>
        <w:t xml:space="preserve">. Available at: </w:t>
      </w:r>
      <w:hyperlink r:id="rId9" w:history="1">
        <w:r w:rsidRPr="003355B0">
          <w:rPr>
            <w:rFonts w:ascii="Times New Roman" w:eastAsia="Times New Roman" w:hAnsi="Times New Roman" w:cs="Times New Roman"/>
            <w:color w:val="0000FF"/>
            <w:kern w:val="0"/>
            <w:sz w:val="24"/>
            <w:szCs w:val="24"/>
            <w:u w:val="single"/>
            <w:lang w:eastAsia="en-IE"/>
            <w14:ligatures w14:val="none"/>
          </w:rPr>
          <w:t>https://fraud.net/d/fraud-score/</w:t>
        </w:r>
      </w:hyperlink>
      <w:r w:rsidRPr="003355B0">
        <w:rPr>
          <w:rFonts w:ascii="Times New Roman" w:eastAsia="Times New Roman" w:hAnsi="Times New Roman" w:cs="Times New Roman"/>
          <w:kern w:val="0"/>
          <w:sz w:val="24"/>
          <w:szCs w:val="24"/>
          <w:lang w:eastAsia="en-IE"/>
          <w14:ligatures w14:val="none"/>
        </w:rPr>
        <w:t xml:space="preserve"> (Accessed: 4 March 2024).</w:t>
      </w:r>
    </w:p>
    <w:p w14:paraId="1C1629CA"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 xml:space="preserve">Gautam, A. (2023) </w:t>
      </w:r>
      <w:r w:rsidRPr="003355B0">
        <w:rPr>
          <w:rFonts w:ascii="Times New Roman" w:eastAsia="Times New Roman" w:hAnsi="Times New Roman" w:cs="Times New Roman"/>
          <w:i/>
          <w:iCs/>
          <w:kern w:val="0"/>
          <w:sz w:val="24"/>
          <w:szCs w:val="24"/>
          <w:lang w:eastAsia="en-IE"/>
          <w14:ligatures w14:val="none"/>
        </w:rPr>
        <w:t>Data Analytics Case Studies: Success Stories from Various Industries</w:t>
      </w:r>
      <w:r w:rsidRPr="003355B0">
        <w:rPr>
          <w:rFonts w:ascii="Times New Roman" w:eastAsia="Times New Roman" w:hAnsi="Times New Roman" w:cs="Times New Roman"/>
          <w:kern w:val="0"/>
          <w:sz w:val="24"/>
          <w:szCs w:val="24"/>
          <w:lang w:eastAsia="en-IE"/>
          <w14:ligatures w14:val="none"/>
        </w:rPr>
        <w:t xml:space="preserve">. Available at: </w:t>
      </w:r>
      <w:hyperlink r:id="rId10" w:history="1">
        <w:r w:rsidRPr="003355B0">
          <w:rPr>
            <w:rFonts w:ascii="Times New Roman" w:eastAsia="Times New Roman" w:hAnsi="Times New Roman" w:cs="Times New Roman"/>
            <w:color w:val="0000FF"/>
            <w:kern w:val="0"/>
            <w:sz w:val="24"/>
            <w:szCs w:val="24"/>
            <w:u w:val="single"/>
            <w:lang w:eastAsia="en-IE"/>
            <w14:ligatures w14:val="none"/>
          </w:rPr>
          <w:t>https://www.linkedin.com/pulse/data-analytics-case-studies-success-stories-qyhvf</w:t>
        </w:r>
      </w:hyperlink>
      <w:r w:rsidRPr="003355B0">
        <w:rPr>
          <w:rFonts w:ascii="Times New Roman" w:eastAsia="Times New Roman" w:hAnsi="Times New Roman" w:cs="Times New Roman"/>
          <w:kern w:val="0"/>
          <w:sz w:val="24"/>
          <w:szCs w:val="24"/>
          <w:lang w:eastAsia="en-IE"/>
          <w14:ligatures w14:val="none"/>
        </w:rPr>
        <w:t xml:space="preserve"> (Accessed: 8 February 2024).</w:t>
      </w:r>
    </w:p>
    <w:p w14:paraId="194DFDDB" w14:textId="77777777" w:rsidR="003355B0" w:rsidRPr="003355B0" w:rsidRDefault="003355B0" w:rsidP="003355B0">
      <w:pPr>
        <w:spacing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Sa’adah, S.A. and Hartanto, A. (2023) ‘FRAUD DETECTION USING DATA ANALYTICS IN THE CUSTOMS CONTEXT: A CASE STUDY OF UNDER INVOICING IMPORTATION FRAUD IN Indonesia’, 16.</w:t>
      </w:r>
    </w:p>
    <w:p w14:paraId="60107B5F" w14:textId="77777777" w:rsidR="003355B0" w:rsidRPr="003355B0" w:rsidRDefault="003355B0" w:rsidP="003355B0">
      <w:pPr>
        <w:spacing w:after="0" w:line="240" w:lineRule="auto"/>
        <w:rPr>
          <w:rFonts w:ascii="Times New Roman" w:eastAsia="Times New Roman" w:hAnsi="Times New Roman" w:cs="Times New Roman"/>
          <w:kern w:val="0"/>
          <w:sz w:val="24"/>
          <w:szCs w:val="24"/>
          <w:lang w:eastAsia="en-IE"/>
          <w14:ligatures w14:val="none"/>
        </w:rPr>
      </w:pPr>
      <w:r w:rsidRPr="003355B0">
        <w:rPr>
          <w:rFonts w:ascii="Times New Roman" w:eastAsia="Times New Roman" w:hAnsi="Times New Roman" w:cs="Times New Roman"/>
          <w:kern w:val="0"/>
          <w:sz w:val="24"/>
          <w:szCs w:val="24"/>
          <w:lang w:eastAsia="en-IE"/>
          <w14:ligatures w14:val="none"/>
        </w:rPr>
        <w:t xml:space="preserve">Sift (2024) </w:t>
      </w:r>
      <w:r w:rsidRPr="003355B0">
        <w:rPr>
          <w:rFonts w:ascii="Times New Roman" w:eastAsia="Times New Roman" w:hAnsi="Times New Roman" w:cs="Times New Roman"/>
          <w:i/>
          <w:iCs/>
          <w:kern w:val="0"/>
          <w:sz w:val="24"/>
          <w:szCs w:val="24"/>
          <w:lang w:eastAsia="en-IE"/>
          <w14:ligatures w14:val="none"/>
        </w:rPr>
        <w:t>How to evaluate payment fraud analytics and measure risk</w:t>
      </w:r>
      <w:r w:rsidRPr="003355B0">
        <w:rPr>
          <w:rFonts w:ascii="Times New Roman" w:eastAsia="Times New Roman" w:hAnsi="Times New Roman" w:cs="Times New Roman"/>
          <w:kern w:val="0"/>
          <w:sz w:val="24"/>
          <w:szCs w:val="24"/>
          <w:lang w:eastAsia="en-IE"/>
          <w14:ligatures w14:val="none"/>
        </w:rPr>
        <w:t xml:space="preserve">, </w:t>
      </w:r>
      <w:proofErr w:type="gramStart"/>
      <w:r w:rsidRPr="003355B0">
        <w:rPr>
          <w:rFonts w:ascii="Times New Roman" w:eastAsia="Times New Roman" w:hAnsi="Times New Roman" w:cs="Times New Roman"/>
          <w:i/>
          <w:iCs/>
          <w:kern w:val="0"/>
          <w:sz w:val="24"/>
          <w:szCs w:val="24"/>
          <w:lang w:eastAsia="en-IE"/>
          <w14:ligatures w14:val="none"/>
        </w:rPr>
        <w:t>How</w:t>
      </w:r>
      <w:proofErr w:type="gramEnd"/>
      <w:r w:rsidRPr="003355B0">
        <w:rPr>
          <w:rFonts w:ascii="Times New Roman" w:eastAsia="Times New Roman" w:hAnsi="Times New Roman" w:cs="Times New Roman"/>
          <w:i/>
          <w:iCs/>
          <w:kern w:val="0"/>
          <w:sz w:val="24"/>
          <w:szCs w:val="24"/>
          <w:lang w:eastAsia="en-IE"/>
          <w14:ligatures w14:val="none"/>
        </w:rPr>
        <w:t xml:space="preserve"> to evaluate payment fraud analytics and measure risk</w:t>
      </w:r>
      <w:r w:rsidRPr="003355B0">
        <w:rPr>
          <w:rFonts w:ascii="Times New Roman" w:eastAsia="Times New Roman" w:hAnsi="Times New Roman" w:cs="Times New Roman"/>
          <w:kern w:val="0"/>
          <w:sz w:val="24"/>
          <w:szCs w:val="24"/>
          <w:lang w:eastAsia="en-IE"/>
          <w14:ligatures w14:val="none"/>
        </w:rPr>
        <w:t xml:space="preserve">. Available at: </w:t>
      </w:r>
      <w:hyperlink r:id="rId11" w:history="1">
        <w:r w:rsidRPr="003355B0">
          <w:rPr>
            <w:rFonts w:ascii="Times New Roman" w:eastAsia="Times New Roman" w:hAnsi="Times New Roman" w:cs="Times New Roman"/>
            <w:color w:val="0000FF"/>
            <w:kern w:val="0"/>
            <w:sz w:val="24"/>
            <w:szCs w:val="24"/>
            <w:u w:val="single"/>
            <w:lang w:eastAsia="en-IE"/>
            <w14:ligatures w14:val="none"/>
          </w:rPr>
          <w:t>https://sift.com/blog/how-to-evaluate-payment-fraud-analytics-and-measure-risk</w:t>
        </w:r>
      </w:hyperlink>
      <w:r w:rsidRPr="003355B0">
        <w:rPr>
          <w:rFonts w:ascii="Times New Roman" w:eastAsia="Times New Roman" w:hAnsi="Times New Roman" w:cs="Times New Roman"/>
          <w:kern w:val="0"/>
          <w:sz w:val="24"/>
          <w:szCs w:val="24"/>
          <w:lang w:eastAsia="en-IE"/>
          <w14:ligatures w14:val="none"/>
        </w:rPr>
        <w:t xml:space="preserve"> (Accessed: 4 March 2024).</w:t>
      </w:r>
    </w:p>
    <w:p w14:paraId="1B4E386B" w14:textId="77777777" w:rsidR="00DD6966" w:rsidRDefault="00DD6966" w:rsidP="00D56FD2"/>
    <w:sectPr w:rsidR="00DD6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D2"/>
    <w:rsid w:val="000163E8"/>
    <w:rsid w:val="00034956"/>
    <w:rsid w:val="00054BEF"/>
    <w:rsid w:val="000675D3"/>
    <w:rsid w:val="0007205E"/>
    <w:rsid w:val="00074DA7"/>
    <w:rsid w:val="00094700"/>
    <w:rsid w:val="000B0DA4"/>
    <w:rsid w:val="000B6B19"/>
    <w:rsid w:val="000C6C32"/>
    <w:rsid w:val="000E4440"/>
    <w:rsid w:val="000E5621"/>
    <w:rsid w:val="001134CF"/>
    <w:rsid w:val="00114218"/>
    <w:rsid w:val="00117EA6"/>
    <w:rsid w:val="00142302"/>
    <w:rsid w:val="001606F5"/>
    <w:rsid w:val="00180567"/>
    <w:rsid w:val="001863F8"/>
    <w:rsid w:val="001B78AC"/>
    <w:rsid w:val="001C6F08"/>
    <w:rsid w:val="001D4C2C"/>
    <w:rsid w:val="001D7D2B"/>
    <w:rsid w:val="001F5CBA"/>
    <w:rsid w:val="001F6479"/>
    <w:rsid w:val="002001C6"/>
    <w:rsid w:val="00205BE6"/>
    <w:rsid w:val="002157E3"/>
    <w:rsid w:val="00216927"/>
    <w:rsid w:val="00225B5A"/>
    <w:rsid w:val="00227478"/>
    <w:rsid w:val="00236D15"/>
    <w:rsid w:val="0025689A"/>
    <w:rsid w:val="00294132"/>
    <w:rsid w:val="002D5B47"/>
    <w:rsid w:val="002E17DE"/>
    <w:rsid w:val="0030167C"/>
    <w:rsid w:val="003037D7"/>
    <w:rsid w:val="003258A0"/>
    <w:rsid w:val="00330CB5"/>
    <w:rsid w:val="00333624"/>
    <w:rsid w:val="00333DAF"/>
    <w:rsid w:val="003355B0"/>
    <w:rsid w:val="003471E9"/>
    <w:rsid w:val="00353A52"/>
    <w:rsid w:val="003578C3"/>
    <w:rsid w:val="00360638"/>
    <w:rsid w:val="00366A8A"/>
    <w:rsid w:val="003843C0"/>
    <w:rsid w:val="003867FA"/>
    <w:rsid w:val="00393F8E"/>
    <w:rsid w:val="003A1B32"/>
    <w:rsid w:val="003A279C"/>
    <w:rsid w:val="003E3E0A"/>
    <w:rsid w:val="003F33CC"/>
    <w:rsid w:val="004109F5"/>
    <w:rsid w:val="0041160C"/>
    <w:rsid w:val="00441EFB"/>
    <w:rsid w:val="00481782"/>
    <w:rsid w:val="00490116"/>
    <w:rsid w:val="004912B8"/>
    <w:rsid w:val="00496DE6"/>
    <w:rsid w:val="004A4C81"/>
    <w:rsid w:val="004B5C5B"/>
    <w:rsid w:val="004C2AA3"/>
    <w:rsid w:val="004D0037"/>
    <w:rsid w:val="004E0A83"/>
    <w:rsid w:val="004E1ED6"/>
    <w:rsid w:val="004F47CF"/>
    <w:rsid w:val="00500A25"/>
    <w:rsid w:val="00533B72"/>
    <w:rsid w:val="00534C0A"/>
    <w:rsid w:val="00586C74"/>
    <w:rsid w:val="005D08AC"/>
    <w:rsid w:val="005D0ED2"/>
    <w:rsid w:val="005D6F9E"/>
    <w:rsid w:val="005E3479"/>
    <w:rsid w:val="0060071A"/>
    <w:rsid w:val="00627EEC"/>
    <w:rsid w:val="006335EE"/>
    <w:rsid w:val="00641B59"/>
    <w:rsid w:val="006429B0"/>
    <w:rsid w:val="00643116"/>
    <w:rsid w:val="00653011"/>
    <w:rsid w:val="00657B2C"/>
    <w:rsid w:val="00674F2F"/>
    <w:rsid w:val="00683C22"/>
    <w:rsid w:val="00693748"/>
    <w:rsid w:val="00694D97"/>
    <w:rsid w:val="006A450B"/>
    <w:rsid w:val="006B2054"/>
    <w:rsid w:val="006C195A"/>
    <w:rsid w:val="006C1F29"/>
    <w:rsid w:val="006C6F89"/>
    <w:rsid w:val="006D639E"/>
    <w:rsid w:val="006E63CA"/>
    <w:rsid w:val="006F7E4B"/>
    <w:rsid w:val="007141F0"/>
    <w:rsid w:val="00723C03"/>
    <w:rsid w:val="0074063E"/>
    <w:rsid w:val="00745D0F"/>
    <w:rsid w:val="007606F9"/>
    <w:rsid w:val="00760837"/>
    <w:rsid w:val="00771918"/>
    <w:rsid w:val="00780010"/>
    <w:rsid w:val="0078054F"/>
    <w:rsid w:val="00793619"/>
    <w:rsid w:val="007E0512"/>
    <w:rsid w:val="007E33DF"/>
    <w:rsid w:val="00802D6D"/>
    <w:rsid w:val="008115CC"/>
    <w:rsid w:val="00821889"/>
    <w:rsid w:val="0082617E"/>
    <w:rsid w:val="00832B5D"/>
    <w:rsid w:val="008400A5"/>
    <w:rsid w:val="0084042E"/>
    <w:rsid w:val="00854A5A"/>
    <w:rsid w:val="00857C12"/>
    <w:rsid w:val="008635AB"/>
    <w:rsid w:val="0088018C"/>
    <w:rsid w:val="00890DD4"/>
    <w:rsid w:val="008A50B8"/>
    <w:rsid w:val="008A7885"/>
    <w:rsid w:val="008B24E9"/>
    <w:rsid w:val="008C6F8F"/>
    <w:rsid w:val="008D0110"/>
    <w:rsid w:val="008E48AE"/>
    <w:rsid w:val="009044C4"/>
    <w:rsid w:val="00904D44"/>
    <w:rsid w:val="0091334B"/>
    <w:rsid w:val="00916718"/>
    <w:rsid w:val="009248C4"/>
    <w:rsid w:val="00930E42"/>
    <w:rsid w:val="009416C2"/>
    <w:rsid w:val="00947FD4"/>
    <w:rsid w:val="00964572"/>
    <w:rsid w:val="00966234"/>
    <w:rsid w:val="00967194"/>
    <w:rsid w:val="0097073C"/>
    <w:rsid w:val="0097560D"/>
    <w:rsid w:val="00977447"/>
    <w:rsid w:val="00981E42"/>
    <w:rsid w:val="00984D43"/>
    <w:rsid w:val="00986AFF"/>
    <w:rsid w:val="00986FBB"/>
    <w:rsid w:val="009A1AD7"/>
    <w:rsid w:val="009B1C2C"/>
    <w:rsid w:val="009B3512"/>
    <w:rsid w:val="009C0403"/>
    <w:rsid w:val="009C514F"/>
    <w:rsid w:val="009C6985"/>
    <w:rsid w:val="009E3675"/>
    <w:rsid w:val="00A061C3"/>
    <w:rsid w:val="00A223F7"/>
    <w:rsid w:val="00A3317B"/>
    <w:rsid w:val="00A42754"/>
    <w:rsid w:val="00A5642A"/>
    <w:rsid w:val="00A718AC"/>
    <w:rsid w:val="00A84965"/>
    <w:rsid w:val="00A85A41"/>
    <w:rsid w:val="00AA2E78"/>
    <w:rsid w:val="00AB6C9E"/>
    <w:rsid w:val="00AD2983"/>
    <w:rsid w:val="00AD2EDF"/>
    <w:rsid w:val="00AF1CB3"/>
    <w:rsid w:val="00B033EB"/>
    <w:rsid w:val="00B46DEC"/>
    <w:rsid w:val="00B6353B"/>
    <w:rsid w:val="00B63E79"/>
    <w:rsid w:val="00B763FD"/>
    <w:rsid w:val="00B767A8"/>
    <w:rsid w:val="00B81792"/>
    <w:rsid w:val="00B93B76"/>
    <w:rsid w:val="00B94112"/>
    <w:rsid w:val="00B9752B"/>
    <w:rsid w:val="00BA0295"/>
    <w:rsid w:val="00BA4C9C"/>
    <w:rsid w:val="00BB6C74"/>
    <w:rsid w:val="00BF27C7"/>
    <w:rsid w:val="00C15209"/>
    <w:rsid w:val="00C172FF"/>
    <w:rsid w:val="00C23B31"/>
    <w:rsid w:val="00C30BB8"/>
    <w:rsid w:val="00C43203"/>
    <w:rsid w:val="00C54F35"/>
    <w:rsid w:val="00C81EC9"/>
    <w:rsid w:val="00CA2666"/>
    <w:rsid w:val="00CC4D30"/>
    <w:rsid w:val="00CC7AC9"/>
    <w:rsid w:val="00CF65D0"/>
    <w:rsid w:val="00D03206"/>
    <w:rsid w:val="00D257E7"/>
    <w:rsid w:val="00D353A7"/>
    <w:rsid w:val="00D42BC8"/>
    <w:rsid w:val="00D451E6"/>
    <w:rsid w:val="00D46693"/>
    <w:rsid w:val="00D5029A"/>
    <w:rsid w:val="00D55C00"/>
    <w:rsid w:val="00D56FD2"/>
    <w:rsid w:val="00D5742C"/>
    <w:rsid w:val="00D67439"/>
    <w:rsid w:val="00D67485"/>
    <w:rsid w:val="00D67801"/>
    <w:rsid w:val="00D871AB"/>
    <w:rsid w:val="00D9573C"/>
    <w:rsid w:val="00D96E34"/>
    <w:rsid w:val="00DA0BF5"/>
    <w:rsid w:val="00DB6699"/>
    <w:rsid w:val="00DC4B58"/>
    <w:rsid w:val="00DD3E04"/>
    <w:rsid w:val="00DD6966"/>
    <w:rsid w:val="00DE793B"/>
    <w:rsid w:val="00E01844"/>
    <w:rsid w:val="00E1447E"/>
    <w:rsid w:val="00E248BD"/>
    <w:rsid w:val="00E26B4E"/>
    <w:rsid w:val="00E30AA9"/>
    <w:rsid w:val="00E512D7"/>
    <w:rsid w:val="00E52C16"/>
    <w:rsid w:val="00E663FA"/>
    <w:rsid w:val="00E708EB"/>
    <w:rsid w:val="00EB2DE2"/>
    <w:rsid w:val="00EB4181"/>
    <w:rsid w:val="00ED0820"/>
    <w:rsid w:val="00EE0932"/>
    <w:rsid w:val="00EE0CC4"/>
    <w:rsid w:val="00EE5C0B"/>
    <w:rsid w:val="00EE7398"/>
    <w:rsid w:val="00EF0F7F"/>
    <w:rsid w:val="00EF757B"/>
    <w:rsid w:val="00F10DD6"/>
    <w:rsid w:val="00F15B79"/>
    <w:rsid w:val="00F166C8"/>
    <w:rsid w:val="00F63FB0"/>
    <w:rsid w:val="00F704A2"/>
    <w:rsid w:val="00F7749A"/>
    <w:rsid w:val="00F90DB8"/>
    <w:rsid w:val="00FA479F"/>
    <w:rsid w:val="00FB45E0"/>
    <w:rsid w:val="00FC42C4"/>
    <w:rsid w:val="00FC42D7"/>
    <w:rsid w:val="00FD6174"/>
    <w:rsid w:val="00FE0FB8"/>
    <w:rsid w:val="00FF36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B74E"/>
  <w15:chartTrackingRefBased/>
  <w15:docId w15:val="{DA74EACF-A440-4030-BB01-D8C5EED2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F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F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F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F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F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F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F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F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F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F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F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F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F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F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FD2"/>
    <w:rPr>
      <w:rFonts w:eastAsiaTheme="majorEastAsia" w:cstheme="majorBidi"/>
      <w:color w:val="272727" w:themeColor="text1" w:themeTint="D8"/>
    </w:rPr>
  </w:style>
  <w:style w:type="paragraph" w:styleId="Title">
    <w:name w:val="Title"/>
    <w:basedOn w:val="Normal"/>
    <w:next w:val="Normal"/>
    <w:link w:val="TitleChar"/>
    <w:uiPriority w:val="10"/>
    <w:qFormat/>
    <w:rsid w:val="00D56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F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F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F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FD2"/>
    <w:pPr>
      <w:spacing w:before="160"/>
      <w:jc w:val="center"/>
    </w:pPr>
    <w:rPr>
      <w:i/>
      <w:iCs/>
      <w:color w:val="404040" w:themeColor="text1" w:themeTint="BF"/>
    </w:rPr>
  </w:style>
  <w:style w:type="character" w:customStyle="1" w:styleId="QuoteChar">
    <w:name w:val="Quote Char"/>
    <w:basedOn w:val="DefaultParagraphFont"/>
    <w:link w:val="Quote"/>
    <w:uiPriority w:val="29"/>
    <w:rsid w:val="00D56FD2"/>
    <w:rPr>
      <w:i/>
      <w:iCs/>
      <w:color w:val="404040" w:themeColor="text1" w:themeTint="BF"/>
    </w:rPr>
  </w:style>
  <w:style w:type="paragraph" w:styleId="ListParagraph">
    <w:name w:val="List Paragraph"/>
    <w:basedOn w:val="Normal"/>
    <w:uiPriority w:val="34"/>
    <w:qFormat/>
    <w:rsid w:val="00D56FD2"/>
    <w:pPr>
      <w:ind w:left="720"/>
      <w:contextualSpacing/>
    </w:pPr>
  </w:style>
  <w:style w:type="character" w:styleId="IntenseEmphasis">
    <w:name w:val="Intense Emphasis"/>
    <w:basedOn w:val="DefaultParagraphFont"/>
    <w:uiPriority w:val="21"/>
    <w:qFormat/>
    <w:rsid w:val="00D56FD2"/>
    <w:rPr>
      <w:i/>
      <w:iCs/>
      <w:color w:val="0F4761" w:themeColor="accent1" w:themeShade="BF"/>
    </w:rPr>
  </w:style>
  <w:style w:type="paragraph" w:styleId="IntenseQuote">
    <w:name w:val="Intense Quote"/>
    <w:basedOn w:val="Normal"/>
    <w:next w:val="Normal"/>
    <w:link w:val="IntenseQuoteChar"/>
    <w:uiPriority w:val="30"/>
    <w:qFormat/>
    <w:rsid w:val="00D56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FD2"/>
    <w:rPr>
      <w:i/>
      <w:iCs/>
      <w:color w:val="0F4761" w:themeColor="accent1" w:themeShade="BF"/>
    </w:rPr>
  </w:style>
  <w:style w:type="character" w:styleId="IntenseReference">
    <w:name w:val="Intense Reference"/>
    <w:basedOn w:val="DefaultParagraphFont"/>
    <w:uiPriority w:val="32"/>
    <w:qFormat/>
    <w:rsid w:val="00D56FD2"/>
    <w:rPr>
      <w:b/>
      <w:bCs/>
      <w:smallCaps/>
      <w:color w:val="0F4761" w:themeColor="accent1" w:themeShade="BF"/>
      <w:spacing w:val="5"/>
    </w:rPr>
  </w:style>
  <w:style w:type="character" w:styleId="Hyperlink">
    <w:name w:val="Hyperlink"/>
    <w:basedOn w:val="DefaultParagraphFont"/>
    <w:uiPriority w:val="99"/>
    <w:semiHidden/>
    <w:unhideWhenUsed/>
    <w:rsid w:val="00335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231863">
      <w:bodyDiv w:val="1"/>
      <w:marLeft w:val="0"/>
      <w:marRight w:val="0"/>
      <w:marTop w:val="0"/>
      <w:marBottom w:val="0"/>
      <w:divBdr>
        <w:top w:val="none" w:sz="0" w:space="0" w:color="auto"/>
        <w:left w:val="none" w:sz="0" w:space="0" w:color="auto"/>
        <w:bottom w:val="none" w:sz="0" w:space="0" w:color="auto"/>
        <w:right w:val="none" w:sz="0" w:space="0" w:color="auto"/>
      </w:divBdr>
      <w:divsChild>
        <w:div w:id="800420326">
          <w:marLeft w:val="0"/>
          <w:marRight w:val="0"/>
          <w:marTop w:val="0"/>
          <w:marBottom w:val="0"/>
          <w:divBdr>
            <w:top w:val="none" w:sz="0" w:space="0" w:color="auto"/>
            <w:left w:val="none" w:sz="0" w:space="0" w:color="auto"/>
            <w:bottom w:val="none" w:sz="0" w:space="0" w:color="auto"/>
            <w:right w:val="none" w:sz="0" w:space="0" w:color="auto"/>
          </w:divBdr>
          <w:divsChild>
            <w:div w:id="11224139">
              <w:marLeft w:val="0"/>
              <w:marRight w:val="0"/>
              <w:marTop w:val="0"/>
              <w:marBottom w:val="240"/>
              <w:divBdr>
                <w:top w:val="none" w:sz="0" w:space="0" w:color="auto"/>
                <w:left w:val="none" w:sz="0" w:space="0" w:color="auto"/>
                <w:bottom w:val="none" w:sz="0" w:space="0" w:color="auto"/>
                <w:right w:val="none" w:sz="0" w:space="0" w:color="auto"/>
              </w:divBdr>
            </w:div>
            <w:div w:id="95491504">
              <w:marLeft w:val="0"/>
              <w:marRight w:val="0"/>
              <w:marTop w:val="0"/>
              <w:marBottom w:val="240"/>
              <w:divBdr>
                <w:top w:val="none" w:sz="0" w:space="0" w:color="auto"/>
                <w:left w:val="none" w:sz="0" w:space="0" w:color="auto"/>
                <w:bottom w:val="none" w:sz="0" w:space="0" w:color="auto"/>
                <w:right w:val="none" w:sz="0" w:space="0" w:color="auto"/>
              </w:divBdr>
            </w:div>
            <w:div w:id="208499781">
              <w:marLeft w:val="0"/>
              <w:marRight w:val="0"/>
              <w:marTop w:val="0"/>
              <w:marBottom w:val="0"/>
              <w:divBdr>
                <w:top w:val="none" w:sz="0" w:space="0" w:color="auto"/>
                <w:left w:val="none" w:sz="0" w:space="0" w:color="auto"/>
                <w:bottom w:val="none" w:sz="0" w:space="0" w:color="auto"/>
                <w:right w:val="none" w:sz="0" w:space="0" w:color="auto"/>
              </w:divBdr>
            </w:div>
            <w:div w:id="535849867">
              <w:marLeft w:val="0"/>
              <w:marRight w:val="0"/>
              <w:marTop w:val="0"/>
              <w:marBottom w:val="240"/>
              <w:divBdr>
                <w:top w:val="none" w:sz="0" w:space="0" w:color="auto"/>
                <w:left w:val="none" w:sz="0" w:space="0" w:color="auto"/>
                <w:bottom w:val="none" w:sz="0" w:space="0" w:color="auto"/>
                <w:right w:val="none" w:sz="0" w:space="0" w:color="auto"/>
              </w:divBdr>
            </w:div>
            <w:div w:id="1615551061">
              <w:marLeft w:val="0"/>
              <w:marRight w:val="0"/>
              <w:marTop w:val="0"/>
              <w:marBottom w:val="240"/>
              <w:divBdr>
                <w:top w:val="none" w:sz="0" w:space="0" w:color="auto"/>
                <w:left w:val="none" w:sz="0" w:space="0" w:color="auto"/>
                <w:bottom w:val="none" w:sz="0" w:space="0" w:color="auto"/>
                <w:right w:val="none" w:sz="0" w:space="0" w:color="auto"/>
              </w:divBdr>
            </w:div>
            <w:div w:id="1802379613">
              <w:marLeft w:val="0"/>
              <w:marRight w:val="0"/>
              <w:marTop w:val="0"/>
              <w:marBottom w:val="240"/>
              <w:divBdr>
                <w:top w:val="none" w:sz="0" w:space="0" w:color="auto"/>
                <w:left w:val="none" w:sz="0" w:space="0" w:color="auto"/>
                <w:bottom w:val="none" w:sz="0" w:space="0" w:color="auto"/>
                <w:right w:val="none" w:sz="0" w:space="0" w:color="auto"/>
              </w:divBdr>
            </w:div>
            <w:div w:id="19752112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9444296">
      <w:bodyDiv w:val="1"/>
      <w:marLeft w:val="0"/>
      <w:marRight w:val="0"/>
      <w:marTop w:val="0"/>
      <w:marBottom w:val="0"/>
      <w:divBdr>
        <w:top w:val="none" w:sz="0" w:space="0" w:color="auto"/>
        <w:left w:val="none" w:sz="0" w:space="0" w:color="auto"/>
        <w:bottom w:val="none" w:sz="0" w:space="0" w:color="auto"/>
        <w:right w:val="none" w:sz="0" w:space="0" w:color="auto"/>
      </w:divBdr>
    </w:div>
    <w:div w:id="1280139785">
      <w:bodyDiv w:val="1"/>
      <w:marLeft w:val="0"/>
      <w:marRight w:val="0"/>
      <w:marTop w:val="0"/>
      <w:marBottom w:val="0"/>
      <w:divBdr>
        <w:top w:val="none" w:sz="0" w:space="0" w:color="auto"/>
        <w:left w:val="none" w:sz="0" w:space="0" w:color="auto"/>
        <w:bottom w:val="none" w:sz="0" w:space="0" w:color="auto"/>
        <w:right w:val="none" w:sz="0" w:space="0" w:color="auto"/>
      </w:divBdr>
    </w:div>
    <w:div w:id="15976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ya-fatima.medium.com/data-analysis-for-detecting-credit-card-fraud-f55d33c091b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bricks.com/blog/2019/05/02/detecting-financial-fraud-at-scale-with-decision-trees-and-mlflow-on-databrick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ft.com/blog/how-to-evaluate-payment-fraud-analytics-and-measure-risk" TargetMode="External"/><Relationship Id="rId5" Type="http://schemas.openxmlformats.org/officeDocument/2006/relationships/image" Target="media/image1.png"/><Relationship Id="rId10" Type="http://schemas.openxmlformats.org/officeDocument/2006/relationships/hyperlink" Target="https://www.linkedin.com/pulse/data-analytics-case-studies-success-stories-qyhvf" TargetMode="External"/><Relationship Id="rId4" Type="http://schemas.openxmlformats.org/officeDocument/2006/relationships/webSettings" Target="webSettings.xml"/><Relationship Id="rId9" Type="http://schemas.openxmlformats.org/officeDocument/2006/relationships/hyperlink" Target="https://fraud.net/d/fraud-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1351</Words>
  <Characters>7702</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Links>
    <vt:vector size="30" baseType="variant">
      <vt:variant>
        <vt:i4>7340136</vt:i4>
      </vt:variant>
      <vt:variant>
        <vt:i4>24</vt:i4>
      </vt:variant>
      <vt:variant>
        <vt:i4>0</vt:i4>
      </vt:variant>
      <vt:variant>
        <vt:i4>5</vt:i4>
      </vt:variant>
      <vt:variant>
        <vt:lpwstr>https://sift.com/blog/how-to-evaluate-payment-fraud-analytics-and-measure-risk</vt:lpwstr>
      </vt:variant>
      <vt:variant>
        <vt:lpwstr/>
      </vt:variant>
      <vt:variant>
        <vt:i4>5570566</vt:i4>
      </vt:variant>
      <vt:variant>
        <vt:i4>21</vt:i4>
      </vt:variant>
      <vt:variant>
        <vt:i4>0</vt:i4>
      </vt:variant>
      <vt:variant>
        <vt:i4>5</vt:i4>
      </vt:variant>
      <vt:variant>
        <vt:lpwstr>https://www.linkedin.com/pulse/data-analytics-case-studies-success-stories-qyhvf</vt:lpwstr>
      </vt:variant>
      <vt:variant>
        <vt:lpwstr/>
      </vt:variant>
      <vt:variant>
        <vt:i4>4784199</vt:i4>
      </vt:variant>
      <vt:variant>
        <vt:i4>18</vt:i4>
      </vt:variant>
      <vt:variant>
        <vt:i4>0</vt:i4>
      </vt:variant>
      <vt:variant>
        <vt:i4>5</vt:i4>
      </vt:variant>
      <vt:variant>
        <vt:lpwstr>https://fraud.net/d/fraud-score/</vt:lpwstr>
      </vt:variant>
      <vt:variant>
        <vt:lpwstr/>
      </vt:variant>
      <vt:variant>
        <vt:i4>4063293</vt:i4>
      </vt:variant>
      <vt:variant>
        <vt:i4>15</vt:i4>
      </vt:variant>
      <vt:variant>
        <vt:i4>0</vt:i4>
      </vt:variant>
      <vt:variant>
        <vt:i4>5</vt:i4>
      </vt:variant>
      <vt:variant>
        <vt:lpwstr>https://aliya-fatima.medium.com/data-analysis-for-detecting-credit-card-fraud-f55d33c091b3</vt:lpwstr>
      </vt:variant>
      <vt:variant>
        <vt:lpwstr/>
      </vt:variant>
      <vt:variant>
        <vt:i4>2949157</vt:i4>
      </vt:variant>
      <vt:variant>
        <vt:i4>12</vt:i4>
      </vt:variant>
      <vt:variant>
        <vt:i4>0</vt:i4>
      </vt:variant>
      <vt:variant>
        <vt:i4>5</vt:i4>
      </vt:variant>
      <vt:variant>
        <vt:lpwstr>https://www.databricks.com/blog/2019/05/02/detecting-financial-fraud-at-scale-with-decision-trees-and-mlflow-on-databricks.html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 Smith</dc:creator>
  <cp:keywords/>
  <dc:description/>
  <cp:lastModifiedBy>Ronan Smyth - STUDENT</cp:lastModifiedBy>
  <cp:revision>105</cp:revision>
  <dcterms:created xsi:type="dcterms:W3CDTF">2024-03-04T20:58:00Z</dcterms:created>
  <dcterms:modified xsi:type="dcterms:W3CDTF">2024-03-04T23:22:00Z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id="oFHLT7oT"/&gt;&lt;style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