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交易系统 v2.0（最终执行版）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数据驱动 · 四层框架 · 机械化执行</w:t>
      </w:r>
    </w:p>
    <w:p>
      <w:pPr>
        <w:pStyle w:val="Heading1"/>
      </w:pPr>
      <w:r>
        <w:t xml:space="preserve">每日操作清单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盘后运行 OpenCode 简报：获取当日大盘、板块、突破池数据。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检查第一层：三锚表决结果？市场状态？仓位上限？情绪差值预警？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检查第二层：有无核心主线？主线板块是哪些？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检查第三层：突破观察池有哪些个股？有无符合五步买点的标的？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检查现有持仓：是否触发时间止损、硬止损、保本线、移动止盈？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执行：挂条件单（次日开盘买入），设定止损单。关机。</w:t>
      </w:r>
    </w:p>
    <w:p>
      <w:r>
        <w:br w:type="page"/>
      </w:r>
    </w:p>
    <w:p>
      <w:pPr>
        <w:pStyle w:val="Heading1"/>
      </w:pPr>
      <w:r>
        <w:t xml:space="preserve">第一层：大盘定仓位（三锚表决制）</w:t>
      </w:r>
    </w:p>
    <w:p>
      <w:pPr>
        <w:pStyle w:val="Heading2"/>
      </w:pPr>
      <w:r>
        <w:t xml:space="preserve">三个锚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上涨信号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下跌信号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上证指数 MA20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&gt; MA20
且 MA20 连续3日走高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&lt; MA20
且 MA20 连续3日走低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同花顺全A 等权指数 MA20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市场广度（涨跌家数比）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0.8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均线"连续3日走高/走低"定义：MA20数值连续3个交易日依次增大（走高）或依次减小（走低）。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同花顺全A数据源：若悟道API无法调取，则使用万得全A（等权重）指数替代。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不满足上涨也不满足下跌 = 震荡信号。</w:t>
      </w:r>
    </w:p>
    <w:p>
      <w:pPr>
        <w:pStyle w:val="Heading2"/>
      </w:pPr>
      <w:r>
        <w:t xml:space="preserve">表决与仓位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880"/>
        <w:gridCol w:w="1840"/>
        <w:gridCol w:w="3400"/>
      </w:tblGrid>
      <w:tr>
        <w:trPr>
          <w:tblHeader/>
        </w:trP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表决结果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市场状态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仓位上限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≥2锚指向上涨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上涨市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7-10成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可追启动买点，可做中继低吸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≥2锚指向下跌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下跌市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强制空仓或极轻仓试盘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其余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震荡市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禁止追高，只能低吸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切换规则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状态切换需连续2个交易日满足新状态条件，才正式切换仓位档位。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情绪过滤器（叠加在仓位上限上）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每日计算"百日新高家数 - 百日新低家数"差值。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差值 &lt; 0：仓位上限立即降一级（7成→5成，5成→3成）。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差值连续3日为负：强制降至1成以下或空仓。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差值恢复 &gt; 0 且第一层表决为非下跌市：仓位恢复原标准。</w:t>
      </w:r>
    </w:p>
    <w:p>
      <w:r>
        <w:br w:type="page"/>
      </w:r>
    </w:p>
    <w:p>
      <w:pPr>
        <w:pStyle w:val="Heading1"/>
      </w:pPr>
      <w:r>
        <w:t xml:space="preserve">第二层：板块定战场（双指标交叉验证）</w:t>
      </w:r>
    </w:p>
    <w:p>
      <w:pPr>
        <w:pStyle w:val="Heading2"/>
      </w:pPr>
      <w:r>
        <w:t xml:space="preserve">指标1：RPS三线共振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计算所有申万二级板块（约130个）的 RPS(10/20/60)。三项 全部 ≥ 85 的板块，确认为"中期主线候选"。</w:t>
      </w:r>
    </w:p>
    <w:p>
      <w:pPr>
        <w:pStyle w:val="Heading2"/>
      </w:pPr>
      <w:r>
        <w:t xml:space="preserve">指标2：百日新高数量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统计每个板块的"3日累计百日新高数量"，取累计数量排名 前5 的板块。</w:t>
      </w:r>
    </w:p>
    <w:p>
      <w:pPr>
        <w:pStyle w:val="Heading2"/>
      </w:pPr>
      <w:r>
        <w:t xml:space="preserve">交叉验证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同时满足 RPS三线 ≥ 85 和 3日累计百日新高前5 的板块 → 核心主线战场。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主线数量校准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若核心主线数量 &lt; 2：RPS阈值下调至82。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若核心主线数量 &gt; 10：RPS阈值上调至88。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每周一盘后执行一次校准，一周内不变。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无主线时的处理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当第一层给了仓位但第二层无核心主线时 → 空仓等待。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板块退潮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当主线板块不再满足RPS条件或百日新高跌出前5 → 板块内所有持仓进入观察模式，新买点停止。</w:t>
      </w:r>
    </w:p>
    <w:p>
      <w:r>
        <w:br w:type="page"/>
      </w:r>
    </w:p>
    <w:p>
      <w:pPr>
        <w:pStyle w:val="Heading1"/>
      </w:pPr>
      <w:r>
        <w:t xml:space="preserve">第三层：个股定买卖（双系统叠加）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数据基础：基于2026年1-6月81只股票、700次百日新高事件的统计分析校准。</w:t>
      </w:r>
    </w:p>
    <w:p>
      <w:pPr>
        <w:pStyle w:val="Heading2"/>
      </w:pPr>
      <w:r>
        <w:t xml:space="preserve">系统A：启动点捕捉（海选突破观察池）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均线位置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&gt; MA60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MA60方向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MA60数值连续3日走高（不允许走平）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成交额 / 5日均成交额 ≥ 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前期涨幅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前20日涨幅 ≤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距MA60距离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收盘价距MA60 0%~20%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流通市值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20亿 ~ 500亿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非ST，属于当日核心主线板块</w:t>
            </w:r>
          </w:p>
        </w:tc>
      </w:tr>
    </w:tbl>
    <w:p>
      <w:pPr>
        <w:pStyle w:val="Heading2"/>
      </w:pPr>
      <w:r>
        <w:t xml:space="preserve">系统B：趋势回调低吸（锁定趋势中军）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流通市值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日均成交额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5日成交额 &gt; 5亿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机构持仓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社保/基金/北向资金持仓（至少有1家机构持股）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最近一期财报净利润同比增长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非连板情绪票（当日非涨停，且前3日无连续涨停）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形态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处于缩量回调或高位横盘状态</w:t>
            </w:r>
          </w:p>
        </w:tc>
      </w:tr>
    </w:tbl>
    <w:p>
      <w:pPr>
        <w:pStyle w:val="Heading2"/>
      </w:pPr>
      <w:r>
        <w:t xml:space="preserve">入场时机：五步确认流程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阳线突破创百日新高（系统A条件全部满足）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突破日确认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等待价格回调至 MA10（±2%）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56%的突破在20天内回踩MA10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回调日成交额 &lt; 突破日成交额 × 50%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 = 抛压衰竭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出现止跌K线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见止跌K线定义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次日以开盘价买入（9:25集合竞价结束）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隔夜确认信号有效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止跌K线量化定义（满足任一即可）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下影线长度 &gt; 实体长度 × 2（锤子线）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收盘价 &gt; 开盘价（阳线）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当日最低价 ≥ 前日最低价（不创新低）</w:t>
      </w:r>
    </w:p>
    <w:p>
      <w:pPr>
        <w:pStyle w:val="Heading2"/>
      </w:pPr>
      <w:r>
        <w:t xml:space="preserve">三种买点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60"/>
        <w:gridCol w:w="1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买点类型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介入时机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缩量标准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单只仓位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分歧买点（新）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涨停/大阳线逼近MA60，分歧缩量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分歧次日开盘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分歧日 x60%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5%-8%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启动买点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刚突破60日线的潜力股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回踩 MA20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突破量 x50%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10%-15%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中继买点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主线趋势中军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回踩 MA10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突破量 x50%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15%-20%</w:t>
            </w:r>
          </w:p>
        </w:tc>
      </w:tr>
    </w:tbl>
    <w:p>
      <w:pPr>
        <w:pStyle w:val="Heading2"/>
      </w:pPr>
      <w:r>
        <w:t xml:space="preserve">分歧买点：七步确认流程</w:t>
      </w:r>
    </w:p>
    <w:p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定位：系统A的早期介入。股价刚突破MA60、多空分歧后选择向上。比标准买点更早入场，止损更紧，仓位更轻。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660"/>
        <w:gridCol w:w="3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量化标准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主线确认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个股属于当日核心主线板块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有板块保护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攻击形态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近3日涨停或涨幅&gt;=7%，收盘&gt;MA60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主力资金亮剑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MA60状态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走平或向上（不要求连续3日走高）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启动初期可能刚走平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距MA60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-2% ~ +20%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覆盖刚突破边缘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分歧日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振幅&gt;=4%，成交&gt;=5日均量x1.5，收盘在MA5上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多空换手，多头守线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缩量确认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分歧次日成交&lt;分歧日x60%，小阳/十字星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抛压衰竭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买入执行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确认次日开盘买入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隔夜防假信号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分歧买点止损（独立规则）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止损线 = min(买入当日最低价 -3%, MA10)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收盘触发止损线 -&gt; 次日开盘离场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浮盈&gt;10%后 -&gt; 切换至标准四阶止损制</w:t>
      </w:r>
    </w:p>
    <w:p>
      <w:r>
        <w:br w:type="page"/>
      </w:r>
    </w:p>
    <w:p>
      <w:pPr>
        <w:pStyle w:val="Heading1"/>
      </w:pPr>
      <w:r>
        <w:t xml:space="preserve">第四层：执行纪律</w:t>
      </w:r>
    </w:p>
    <w:p>
      <w:pPr>
        <w:pStyle w:val="Heading2"/>
      </w:pPr>
      <w:r>
        <w:t xml:space="preserve">入场规则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首次回踩法则：只买入起跳后的第一次缩量回踩 MA10 或 MA20 的机会。入场执行五步确认流程。</w:t>
      </w:r>
    </w:p>
    <w:p>
      <w:pPr>
        <w:pStyle w:val="Heading2"/>
      </w:pPr>
      <w:r>
        <w:t xml:space="preserve">出场规则：四阶止损制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8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止损类型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时间止损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入场第10个交易日收盘后，从入场价算起涨幅 &lt; 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次日开盘离场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硬止损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收盘价有效跌破 MA20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次日开盘离场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保本线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 &gt; 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止损价上移至成本价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移动止盈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 &gt; 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止盈线切换至 MA5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趋势股止盈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 &gt; 30% 且 MA5 斜率陡峭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止盈线可切换至 MA10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关键定义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有效跌破：单日收盘价 &lt; 均线值，次日开盘执行离场。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入场日计数：买入当天算第1天。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大盘降仓时的处理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降为震荡市：按"先减利润少的，后减利润多的"顺序降至仓位上限，不新增买入。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降为下跌市：全部离场（或保留最多1成试盘仓），不新增买入。</w:t>
      </w:r>
    </w:p>
    <w:p>
      <w:pPr>
        <w:pStyle w:val="Heading2"/>
      </w:pPr>
      <w:r>
        <w:t xml:space="preserve">组合管理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最大持仓数量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总仓位硬上限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由第一层决定，不可突破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系统A vs B资金分配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上涨市 A:B=4:6，震荡市 A:B=3:7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板块退潮处理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板块内持仓只出不进，现有仓位按出场规则处理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参数速查表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MA20方向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连续3日走高/走低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涨跌家数比阈值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&gt;1.2 / &lt;0.8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状态切换确认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连续2个交易日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情绪过滤器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新高-新低差值&lt;0降仓，连续3日负空仓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RPS周期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10/20/60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RPS阈值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≥85（±3动态校准）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百日新高统计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3日累计，前5名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≥1.5（相对5日均量）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前20日涨幅上限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≤30%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距MA60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0%~20%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连续3日走高（不允许走平）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流通市值(系统A)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20亿~500亿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流通市值(系统B)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缩量标准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&lt;突破日成交额 ×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回调位置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MA10（±2%）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执行时间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次日开盘价（9:25集合竞价）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止跌K线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下影线&gt;实体2倍/阳线/不创新低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时间止损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入场10天涨幅&lt;5%→次日开盘离场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硬止损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收盘价有效跌破MA20→次日开盘离场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保本线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浮盈&gt;10%→止损上移成本价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移动止盈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浮盈&gt;20%→止盈线=MA5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最大持仓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单只仓位上限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10%-20%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A:B资金分配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上涨4:6，震荡3:7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数据来源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候选池：114只满足系统A初步条件的A股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百日新高事件：700次（分布在81只股票上，81次为首次新高）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数据周期：2026年1月-6月（K线回看至2025年8月）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数据接口：悟道 A股数据 MCP（data.quicktiny.cn）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交易系统 v2.0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 |  Page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 w:before="240"/>
      <w:jc w:val="center"/>
    </w:pPr>
    <w:rPr>
      <w:rFonts w:ascii="Microsoft YaHei" w:cs="Microsoft YaHei" w:eastAsia="Microsoft YaHei" w:hAnsi="Microsoft YaHei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2026-07-04T15:37:02.380Z</dcterms:created>
  <dcterms:modified xsi:type="dcterms:W3CDTF">2026-07-04T15:37:02.383Z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