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0" w:name="X4130745c3dea2286ae4e359ee3faecdd5fae377"/>
    <w:p>
      <w:pPr>
        <w:pStyle w:val="Heading1"/>
      </w:pPr>
      <w:r>
        <w:t xml:space="preserve">Algorithmacy and Standing: Coordinative Sovereignty for the Platform Era</w:t>
      </w:r>
    </w:p>
    <w:bookmarkStart w:id="9" w:name="abstract"/>
    <w:p>
      <w:pPr>
        <w:pStyle w:val="Heading2"/>
      </w:pPr>
      <w:r>
        <w:t xml:space="preserve">Abstract</w:t>
      </w:r>
    </w:p>
    <w:p>
      <w:pPr>
        <w:pStyle w:val="FirstParagraph"/>
      </w:pPr>
      <w:r>
        <w:t xml:space="preserve">A platform operator can satisfy every mandate of European digital regulation while leaving dependent actors without a share in the algorithmic determinations that bind them. Sovereignty has always required a competence matched to its medium: speech in oral orders, writing in bureaucratic states, and now “algorithmacy” in platform coordination. Unlike bilateral exchange, platform coordination operates through an interested third party that interprets both transacting sides and enforces allocations neither controls. Governing that medium requires coordinative sovereignty, the standing to contest arbitrary determinations and co-govern unbypassable mediations. By simulating the restoration of a direct transaction edge, a bypass counterfactual distinguishes contingent gates subject to exit from necessary integrations requiring voice. This priority rule identifies the institutional architecture, from data trusts to collective bargaining, that converts individual algorithmacy into collective standing.</w:t>
      </w:r>
    </w:p>
    <w:p>
      <w:pPr>
        <w:pStyle w:val="BodyText"/>
      </w:pPr>
      <w:r>
        <w:rPr>
          <w:b/>
          <w:bCs/>
        </w:rPr>
        <w:t xml:space="preserve">Keywords:</w:t>
      </w:r>
      <w:r>
        <w:t xml:space="preserve"> digital sovereignty, coordinative sovereignty, algorithmacy, platform coordination, co-optation, algorithmic management, non-domination, exit and voice, contestability, data trusts</w:t>
      </w:r>
    </w:p>
    <w:bookmarkEnd w:id="9"/>
    <w:bookmarkStart w:id="10" w:name="the-subject-of-sovereignty"/>
    <w:p>
      <w:pPr>
        <w:pStyle w:val="Heading2"/>
      </w:pPr>
      <w:r>
        <w:t xml:space="preserve">1. The subject of sovereignty</w:t>
      </w:r>
    </w:p>
    <w:p>
      <w:pPr>
        <w:pStyle w:val="FirstParagraph"/>
      </w:pPr>
      <w:r>
        <w:t xml:space="preserve">Sovereignty is the standing to hold authority to account through the medium in which power is exercised. Exercising that standing has always required a competence matched to the medium itself: speech in an oral order, writing in a literate state. A literate public could call the modern state to account because citizens could read what institutions wrote (Habermas, 1962/1989; Scott, 1998). Contemporary platform coordination functions via a medium beyond speech and text. An algorithmic third party evaluates both sides of an exchange and enforces determinations that neither side controls.</w:t>
      </w:r>
    </w:p>
    <w:p>
      <w:pPr>
        <w:pStyle w:val="BodyText"/>
      </w:pPr>
      <w:r>
        <w:t xml:space="preserve">Every medium of authority distributes functional competence more widely than political standing, turning that competence against power. In oral societies, speech and memory anchored authority as elders recited the law (Bloch, 1975; Goody, 1986). Communal oaths depended on public witnesses, and customs lasted through collective memory and ritual performance. However, basic speech was universal; hierarchies of age, sex, lineage, and office strictly governed who could speak. Competence was widespread; standing to challenge authority was not. Inscription transformed accountability because a written rule persists, travels independently of its author, and allows direct textual comparison (Goody &amp; Watt, 1963). The modern state governs through administrative archives, censuses, and legal codes (Goody, 1986; Scott, 1998), yet the very instruments that enable state administration also equip a literate public to contest it. Print culture carried critical reason into the public sphere (Habermas, 1962/1989), anchoring the imagined community of the democratic nation-state (B. Anderson, 1983/2006) and making institutional literacy a prerequisite for democratic citizenship (Nussbaum, 2006; Sen, 1999). For centuries, however, literacy remained the restricted craft of scribes, clerics, and state officials (Clanchy, 2013; Harris, 1989), and the expansion of democratic sovereignty tracked the slow, uneven diffusion of that capacity (Graff, 1991). Media scholarship has consistently paired institutional authority with communicative media, defining coordination regimes by the governance structures a medium permits rather than by individual cognitive traits (Eisenstein, 1979; Finnegan, 1988; Innis, 1951; Scribner &amp; Cole, 1981; Street, 1984).</w:t>
      </w:r>
    </w:p>
    <w:p>
      <w:pPr>
        <w:pStyle w:val="BodyText"/>
      </w:pPr>
      <w:r>
        <w:t xml:space="preserve">The European Union enforces the world’s most extensive digital regulatory regime, yet this system fails to reach the computational layer where platform coordination binds economic actors. In April 2025, the European Commission issued its first non-compliance fine under the Digital Markets Act, penalizing Apple 500 million euros for restricting developer steering in the App Store (European Commission, 2025b). That enforcement builds upon an extensive legislative acquis: the General Data Protection Regulation governs personal data, the AI Act classifies systems by risk profile, the Digital Markets Act disciplines gatekeeper conduct, the Digital Services Act oversees content curation, and the NIS2 Directive mandates cybersecurity governance (Directive (EU) 2022/2555; Regulation (EU) 2016/679; Regulation (EU) 2022/1925; Regulation (EU) 2022/2065; Regulation (EU) 2024/1689). No other jurisdiction grants market participants comparable formal rights over data, infrastructure, and code (Bradford, 2023). Yet empirical assessments identify a steady gap between the sovereignty European policy proclaims and the operational control it delivers (Falkner et al., 2024). The regulatory model protects the data-holding subject as an individual while leaving that subject’s structural position in the platform economy untouched (Nanni et al., 2024).</w:t>
      </w:r>
    </w:p>
    <w:p>
      <w:pPr>
        <w:pStyle w:val="BodyText"/>
      </w:pPr>
      <w:r>
        <w:t xml:space="preserve">A platform enterprise can satisfy every statutory obligation imposed by digital regulation while denying mediated participants any procedural share in the algorithmic decisions that match, rank, price, or deactivate them. Under the Platform-to-Business Regulation, an independent software vendor receives baseline parameter disclosures and access to complaint channels, yet holds no voice in the ranking architectures that dictate customer access (Cutolo &amp; Kenney, 2021; Kude &amp; Huber, 2025; Regulation (EU) 2019/1150, Arts. 5, 11). Third-party merchants possess no legal claim against the recommendation frameworks that govern sales volume, and digital creators absorb severe revenue shocks from unannounced policy recalibrations (Nambisan et al., 2018; Rahman et al., 2024). Because the Digital Services Act disciplines explicit moderation while leaving algorithmic demotion largely untouched, creators whose reach disappears have nothing actionable to appeal (Leerssen, 2023). Platform workers managed through opaque metrics occupy an identical structural position (Rahman, 2021). Operator compliance remains an achievement of literate bureaucracy; genuine standing for the coordinated demands a binding share in algorithmic governance.</w:t>
      </w:r>
    </w:p>
    <w:p>
      <w:pPr>
        <w:pStyle w:val="BodyText"/>
      </w:pPr>
      <w:r>
        <w:t xml:space="preserve">When an intermediary is still essential even after transacting parties can connect directly, the coordinated actor’s autonomy takes the form of coordinative sovereignty: procedural standing within the mediation itself. A bypass counterfactual that restores direct exchange distinguishes contingent gatekeepers subject to exit from necessary integrators that participants can only govern. This distinction yields a functional priority rule: exit-restoring instruments against contingent bottlenecks, and voice-building institutions against necessary mediations, evaluated function by function. Exercising this standing requires algorithmacy. While continuous with conventional algorithmic literacy in its baseline mechanics, algorithmacy is discontinuous in its object, operating as a triadic relational capacity that serves as a prerequisite for standing rather than a substitute. The prevailing paradigm of digital sovereignty merely extends literate bureaucratic control to data, infrastructure, and code, failing to reach the computational layer where platform coordination binds. Expanding literate disclosure mandates cannot provide procedural voice; adding more compliance duties leaves underlying power asymmetries intact.</w:t>
      </w:r>
    </w:p>
    <w:bookmarkEnd w:id="10"/>
    <w:bookmarkStart w:id="11" w:name="X57e7da9ded70d0552bd5592eee9a0c0fddd6ee1"/>
    <w:p>
      <w:pPr>
        <w:pStyle w:val="Heading2"/>
      </w:pPr>
      <w:r>
        <w:t xml:space="preserve">2. The main idea of coordinative sovereignty</w:t>
      </w:r>
    </w:p>
    <w:p>
      <w:pPr>
        <w:pStyle w:val="FirstParagraph"/>
      </w:pPr>
      <w:r>
        <w:t xml:space="preserve">Coordinative sovereignty defines the political autonomy proper to an unbypassable mediation: the institutional standing to shape terms of intermediation, contest arbitrary power, and hold a binding share in governing arrangements that direct ties cannot dissolve. Two structural criteria delimit the construct against neighboring concepts: the mediation must be necessary, and its operative currency must be effective voice. An actor’s inability to leave reflects an enduring property of the coordination itself, distinct from switching costs under a contingent gate or temporary technical irreducibility. Effective voice requires governance arrangements that mediated actors can directly enforce, distinguishing this standing from both market exit and total command of platform infrastructure.</w:t>
      </w:r>
    </w:p>
    <w:p>
      <w:pPr>
        <w:pStyle w:val="BodyText"/>
      </w:pPr>
      <w:r>
        <w:t xml:space="preserve">Jean Bodin conceived sovereignty as supreme, perpetual, and indivisible (Bodin, 1576/1992), making any standing that is partial, shared, and exercised through voice appear anomalous. Modern democratic theory, however, long ago desubstantialized the construct. Rather than locating authority in a sovereign monarch or fixed assembly, democratic theory locates popular sovereignty in</w:t>
      </w:r>
      <w:r>
        <w:t xml:space="preserve"> </w:t>
      </w:r>
      <w:r>
        <w:t xml:space="preserve">“subjectless forms of communication”</w:t>
      </w:r>
      <w:r>
        <w:t xml:space="preserve"> </w:t>
      </w:r>
      <w:r>
        <w:t xml:space="preserve">(Habermas, 1996, pp. 486–487). In this communicatively grounded sense, sovereignty denotes the standing to hold leadership accountable through its working medium, just as a literate public checks bureaucratic authority by reading and contesting state records. Coordinative sovereignty builds directly on this desubstantialized tradition by specifying two relational attributes: unbypassable mediation and official voice. Dispersed, overlapping allocations of authority do not dilute the construct; systematic reviews confirm that recognizing coexisting sovereigns constitutes a necessary theoretical progression within digital scholarship (Repetto, 2025).</w:t>
      </w:r>
    </w:p>
    <w:p>
      <w:pPr>
        <w:pStyle w:val="BodyText"/>
      </w:pPr>
      <w:r>
        <w:t xml:space="preserve">Habermas’s communicative model presumes a public already unified through the shared reading of text. Platform complementors do not constitute such a connected public. Instead, they operate as positional rivals competing for algorithmically driven rank, and platform mediation provides no internal mechanism to convert individualized rivalry into collective leverage.</w:t>
      </w:r>
    </w:p>
    <w:p>
      <w:pPr>
        <w:pStyle w:val="BodyText"/>
      </w:pPr>
      <w:r>
        <w:t xml:space="preserve">Because a relational position defines the construct, coordinative sovereignty applies equally to natural persons and corporate entities occupying an unbypassable mediation. Republican political theory justifies extending non-domination to collective bodies while strictly grounding corporate freedom in the fundamental liberty of individual members (Pettit, 2016). That normative hierarchy governs platform relations: whenever an enterprise’s organizational claims diverge from the autonomy of its constituent members, individual standing takes precedence.</w:t>
      </w:r>
    </w:p>
    <w:p>
      <w:pPr>
        <w:pStyle w:val="BodyText"/>
      </w:pPr>
      <w:r>
        <w:t xml:space="preserve">Four theoretical traditions specify coordinative sovereignty as a bundle of governance rights over an unbypassable mediation. First, republican theory defines freedom as non-domination, requiring immunity from arbitrary power rather than simple non-interference (Pettit, 1997; Skinner, 1998), an ideal directly applicable to algorithmic management (Muldoon &amp; Raekstad, 2023). While algorithmic systems lack moral agency, domination in platform coordination stays anchored in corporate intentionality: the algorithmic intermediary executes the strategic interests of the platform firm, an active economic agent (Cicerchia, 2022; cf. Gädeke, 2020; Hasan, 2021). Second, relational autonomy recognizes that agency is constituted through structuring social relations, expanding when mediation is reciprocally governed and diminishing when terms are imposed unilaterally (Mackenzie &amp; Stoljar, 2000; Nedelsky, 2011). Third, democratic theory demonstrates that non-domination protects without including; shielding an actor from arbitrary intervention does not grant a share in shared decision-making (Markell, 2008). Coordinative sovereignty internalizes Markell’s critique by combining non-domination with positive procedural voice. Finally, commons scholarship provides the institutional blueprint: property functions as a bundle of rights wherein claimant and proprietor positions exercise management and exclusion without holding asset title (Ostrom, 1990; Schlager &amp; Ostrom, 1992). Just as Maine lobster fishers exercise de facto proprietorship over state-owned waters through collective rules (Acheson, 2003), platform complementors require collective-choice arrangements over coordination parameters that the platform owner cannot unilaterally rewrite.</w:t>
      </w:r>
    </w:p>
    <w:bookmarkEnd w:id="11"/>
    <w:bookmarkStart w:id="12" w:name="the-dominant-view-and-where-it-fails"/>
    <w:p>
      <w:pPr>
        <w:pStyle w:val="Heading2"/>
      </w:pPr>
      <w:r>
        <w:t xml:space="preserve">3. The dominant view and where it fails</w:t>
      </w:r>
    </w:p>
    <w:p>
      <w:pPr>
        <w:pStyle w:val="FirstParagraph"/>
      </w:pPr>
      <w:r>
        <w:t xml:space="preserve">In its regulatory strand, digital sovereignty transposes literate oversight onto computational systems through statutory documentation and mandatory disclosure. Under this paradigm, public authorities and civic organizations assert control over digital architectures, data flows, and technical architectures (Floridi, 2020; Hummel et al., 2021; Pohle &amp; Thiel, 2020). Frameworks such as the GDPR, the AI Act, and the NIS2 Directive institutionalize governance through written records of processing, risk classifications, and formal compliance reporting (Directive (EU) 2022/2555; Regulation (EU) 2016/679; Regulation (EU) 2024/1689). An actor possessing sufficient legal, regulatory, and technical literacy can inspect system documentation, benchmark it against administrative standards, and hold operators accountable. Although comparative reviews classify digital sovereignty models across rights-based, market-driven, centralizing, and state-centric types without finding one that reconciles comprehensive regulation with dynamic responsiveness (Fratini et al., 2024), the regulatory strategy relies uniformly on compelling computational systems to disclose their operations as written records. A parallel industrial strand pursues sovereignty through infrastructure and jurisdictional ownership, spanning sovereign cloud initiatives, domestic technical capacity, data localization, and strategic procurement across the technological stack (Bratton, 2015; Roberts et al., 2021). Innovation theorists define this technology sovereignty not as autarky, but as strategic agency within conditions of global interdependence (Edler et al., 2023). Contemporary scholarship thus treats digital sovereignty as an inherently contested construct claimed simultaneously by states, enterprises, and social movements (Couture &amp; Toupin, 2019; Couture et al., 2025; Pohle et al., 2025), showing a structural transition from market liberalism to public market intervention (Heidebrecht, 2024). The regulatory strand retains the tightest continuity with classical bureaucratic literacy, and within its intended domain, the model functions: a data-protection authority can audit a processing log, a court can compare risk assessments against AI Act mandates, and a security auditor can benchmark operational controls against NIS2 standards. The instrument succeeds because its working object is a text.</w:t>
      </w:r>
    </w:p>
    <w:p>
      <w:pPr>
        <w:pStyle w:val="BodyText"/>
      </w:pPr>
      <w:r>
        <w:t xml:space="preserve">Five structural characteristics of platform coordination systematically defeat disclosure-based literate governance: opacity, adaptivity, reactivity, absent standing, and asymmetric leverage.</w:t>
      </w:r>
    </w:p>
    <w:p>
      <w:pPr>
        <w:pStyle w:val="BodyText"/>
      </w:pPr>
      <w:r>
        <w:t xml:space="preserve">First, intrinsic opacity within high-dimensional machine learning systems shields algorithmic determinations from external interpretation, even under open-source mandates. Burrell (2016) identifies three distinct forms of opacity: intentional trade-secret concealment, technical illiteracy among users, and the mathematical opacity arising from the scale and non-linearity of machine learning models. The third form remains across source-code releases. Because the distributed weights across millions of parameters cannot be read like statutory clauses, inspecting the underlying code does not reveal how a model will decide a specific case. Although ethnographers show that algorithms are enacted in practice and become partially knowable through daily interaction (Christin, 2020), this practical familiarity does not resolve coordination-level opacity, making participants unable to anticipate how the system will evaluate their conduct in subsequent allocation cycles.</w:t>
      </w:r>
    </w:p>
    <w:p>
      <w:pPr>
        <w:pStyle w:val="BodyText"/>
      </w:pPr>
      <w:r>
        <w:t xml:space="preserve">Second, continuous adaptivity allows platform operators to recalibrate ranking architectures dynamically, rendering static disclosures instantly obsolete. Platforms routinely modify design parameters and ranking algorithms to reshape participant conduct, producing clear disparities in complementors’ capacities to adapt (Koo &amp; Eesley, 2021). Unannounced parameter shifts in opaque evaluation systems function as an active instrument of control (Rahman, 2021). While a legal statute remains fixed long enough for citizens to read, interpret, and challenge its terms, algorithmic disclosures capture only ephemeral operational states. Adaptivity defeats literate transparency more decisively than opacity does because it neutralizes even comprehensive disclosures. Under the Platform-to-Business Regulation, platforms have to provide fifteen days’ notice before altering official conditions (Regulation (EU) 2019/1150, Art. 3); platforms bypass this constraint by continuously adjusting the unannounced algorithmic configurations under those written terms.</w:t>
      </w:r>
    </w:p>
    <w:p>
      <w:pPr>
        <w:pStyle w:val="BodyText"/>
      </w:pPr>
      <w:r>
        <w:t xml:space="preserve">Third, strategic reactivity creates an inherent incentive for platform operators to conceal evaluation criteria. When an evaluative measure is made public, observed actors reorganize their behavior around the metric, degrading what the measure originally captured and motivating the evaluator to obscure the formula (Espeland &amp; Sauder, 2007). Platforms face a structural dilemma: transparency invites gaming, whereas opacity concentrates arbitrary supervisory power. This condition leaves literate regulation at an impasse, as even an operator with no anti-competitive intent has good operational reasons to resist meaningful disclosure.</w:t>
      </w:r>
    </w:p>
    <w:p>
      <w:pPr>
        <w:pStyle w:val="BodyText"/>
      </w:pPr>
      <w:r>
        <w:t xml:space="preserve">Fourth, absent procedural standing, information disclosure yields no actionable accountability. The transparency ideal fails when institutions lack the legal authority or practical mechanisms to act on disclosed information (Ananny &amp; Crawford, 2018). Information disclosure does not automatically produce answerability, nor does answerability ensure sanctions (Fox, 2007). Procedural contestation remains the neglected half of algorithmic governance; a right to inspect records provides little protection without an enforceable obligation requiring the platform operator to adjudicate disputes on their merits (Kaminski &amp; Urban, 2021). Platforms usually dismiss the inferential insights which participants assemble regarding algorithmic suppression as simple folklore, stripping informal competence of evidentiary weight (Cotter, 2023). Disclosures that no party holds standing to contest remain administratively inconsequential.</w:t>
      </w:r>
    </w:p>
    <w:p>
      <w:pPr>
        <w:pStyle w:val="BodyText"/>
      </w:pPr>
      <w:r>
        <w:t xml:space="preserve">Fifth, severe leverage asymmetries leave dependent participants unable to contest platform determinations effectively. Platform-dependent enterprises operate under power imbalances that multi-platform diversification only partially relieves, as quasi-monopoly market structures and deliberate switching frictions actively obstruct multihoming (Cutolo &amp; Kenney, 2021; Fitz &amp; Scheeg, 2025). Workers subject to opaque algorithmic evaluation inhabit organizational constraints where adapting to unobservable metrics becomes an internalized mechanism of managerial control (Rahman, 2021). The temporal flexibility that gig platforms advertise operates entirely inside this supervisory envelope: workers choose their working hours freely, but cannot see or contest the algorithmic standards against which their labor is measured (Wood et al., 2019; Rahman, 2021).</w:t>
      </w:r>
    </w:p>
    <w:p>
      <w:pPr>
        <w:pStyle w:val="BodyText"/>
      </w:pPr>
      <w:r>
        <w:t xml:space="preserve">The empirical record of European regulatory instruments demonstrates the structural limits of disclosure mandates operating under continuous algorithmic recalibration and planned reactivity. Under the Platform-to-Business Regulation, platforms need to disclose primary ranking parameters, establish internal complaint mechanisms, and recognize representative standing (Regulation (EU) 2019/1150, Arts. 5, 11, 14). Yet the European Commission’s preliminary review revealed that only one-third of intermediation services published ranking parameters, that existing descriptions remained excessively vague, and that statutory mediation channels went virtually unused (European Commission, 2023). Subsequent legislation broadens disclosure without altering underlying power relations: the Digital Services Act mandates recommender reporting and researcher data access (Regulation (EU) 2022/2065, Arts. 27, 40), while the Digital Markets Act targets gatekeeper market conduct (Regulation (EU) 2022/1925). Article 22 of the GDPR establishes a distinct individual-rights model, granting natural persons the right to individual intervention and procedural contestation against solely automated decisions (Regulation (EU) 2016/679, Art. 22). Although the Court of Justice broadened this threshold to encompass automated scoring mechanisms and expanded required explanations (Case C-634/21; Case C-203/22), Article 22 possesses a thin enforcement record and protects only natural persons, excluding platform-dependent enterprises entirely. In cases such as opaque algorithmic wage discrimination, legal scholars conclude that disclosure regimes are fundamentally inadequate and that only statutory prohibition proves effective (Dubal, 2023). Written legal provisions struggle to discipline governance mechanisms executed through dynamic computational code (Hildebrandt, 2015). Platform operators maintain algorithmic architectures as proprietary enclosures, extracting behavioral transparency from users while shielding operational knowledge (Cohen, 2017, p. 154) and deploying technical opacity during litigation to obstruct class identification (Cohen, 2017, p. 182). Regardless of what administrative disclosures these instruments compel, the structural reality remains unchanged: coordinated actors can observe their determinations with increasing fidelity, yet remain powerless to contest them (Pasquale, 2023).</w:t>
      </w:r>
    </w:p>
    <w:p>
      <w:pPr>
        <w:pStyle w:val="BodyText"/>
      </w:pPr>
      <w:r>
        <w:t xml:space="preserve">A platform enterprise can satisfy every statutory obligation under European digital law while denying mediated participants any procedural voice in the ranking systems that govern their economic viability. These obligations govern lawful data processing, administrative documentation, cybersecurity protocols, parameter disclosures, and gatekeeper market conduct (Crémer et al., 2023; Directive (EU) 2022/2555; Regulation (EU) 2016/679; Regulation (EU) 2019/1150; Regulation (EU) 2022/1925; Regulation (EU) 2024/1689). Each represents an achievement of bureaucratic literacy, yet operational determinations remain exclusively within the platform firm’s discretion.</w:t>
      </w:r>
    </w:p>
    <w:p>
      <w:pPr>
        <w:pStyle w:val="BodyText"/>
      </w:pPr>
      <w:r>
        <w:t xml:space="preserve">Incremental expansions of disclosure mandates cannot bridge this institutional gap. Because opacity, adaptivity, and reactivity undermine transparency even under comprehensive reporting rules, adding disclosure duties cannot create procedural standing. Enforcement actions under present frameworks discipline external conduct without redistributing internal governance rights. The European Commission’s decision against Apple modified anti-steering terms, but granted application developers no role in governing App Store ranking or review architectures (European Commission, 2025b). A regulatory regime centered on state-held oversight rights may penalize an intermediary while leaving dependent actors structurally unrepresented. Transparency renders computational systems legible to public authorities; coordinative sovereignty requires enforceable standing for the economic actors those systems bind.</w:t>
      </w:r>
    </w:p>
    <w:bookmarkEnd w:id="12"/>
    <w:bookmarkStart w:id="13" w:name="the-coordination"/>
    <w:p>
      <w:pPr>
        <w:pStyle w:val="Heading2"/>
      </w:pPr>
      <w:r>
        <w:t xml:space="preserve">4. The coordination</w:t>
      </w:r>
    </w:p>
    <w:p>
      <w:pPr>
        <w:pStyle w:val="FirstParagraph"/>
      </w:pPr>
      <w:r>
        <w:t xml:space="preserve">Platform coordination establishes an interested triadic relation: an algorithmic intermediary extracts operational data from both transacting parties and enforces non-negotiable allocations aligned with the platform firm’s proprietary objectives. Classic organizational theory identifies three primary mechanisms for coordinating economic activity: markets coordinate through price, hierarchies through administrative authority, and networks through trust and reciprocity (Adler, 2001; Powell, 1990; G. F. Thompson, 2003; Williamson, 1975). Platform ecosystems introduce a fourth coordination logic based on algorithmic co-optation, enrolling participants without delegating managerial authority or executing traditional employment and commercial contracts (Stark &amp; Pais, 2020; Stark &amp; Vanden Broeck, 2024). Neighboring disciplines conceptualize this enrollment as evaluative infrastructure, partial organization, or meta-organizational governance (Ahrne &amp; Brunsson, 2011; Kirchner &amp; Schüßler, 2019; Kornberger et al., 2017; Kretschmer et al., 2022; Schüßler et al., 2021). Whereas Selznick’s construct of informal co-optation ceded genuine decision-making influence to external groups in exchange for stability, formal co-optation</w:t>
      </w:r>
      <w:r>
        <w:t xml:space="preserve"> </w:t>
      </w:r>
      <w:r>
        <w:t xml:space="preserve">“does not envision the transfer of actual power. The forms of participation are emphasized, but action is channeled to fulfill the administrative functions while preserving the locus of major decision in the hands of the initiating group”</w:t>
      </w:r>
      <w:r>
        <w:t xml:space="preserve"> </w:t>
      </w:r>
      <w:r>
        <w:t xml:space="preserve">(Selznick, 1949, p. 14). Platform enrollment operationalizes formal co-optation by rendering participatory mechanisms functionally inert, offering task-level feedback channels, administrative complaint portals, and advisory ceremonies while withholding governance authority over core allocation parameters (Gegenhuber et al., 2021).</w:t>
      </w:r>
    </w:p>
    <w:p>
      <w:pPr>
        <w:pStyle w:val="BodyText"/>
      </w:pPr>
      <w:r>
        <w:t xml:space="preserve">Algorithmic labor platforms coordinate distributed transactions by continuously evaluating bilateral telemetry and enforcing non-negotiable decisions regarding routing, dynamic pricing, matching, ranking, and account deactivation. Both transacting sides occupy symmetrical structural exposure to an intermediary optimizing for firm-level objectives rather than participant welfare (Kellogg et al., 2020; Stark &amp; Pais, 2020). Customer ratings execute delegated managerial discipline over labor, embedding the intermediary as an evaluative authority between transacting counterparts (Curchod et al., 2020; Stark &amp; Pais, 2020). Information systems scholarship synthesizes these dual functions under the construct of algorithmic management, defining it as the operational integration of market matching and supervisory control within a single computational architecture (Möhlmann et al., 2021). Recognition of this triadic architecture remains uneven across disciplines. Whereas platform economics formalizes two-sidedness through an intermediary pricing cross-side interactions (Rochet &amp; Tirole, 2003), labor republicanism treats the relation as dyadic subordination to an employer’s algorithmic instrument (Muldoon &amp; Raekstad, 2023). Communication and literacy traditions similarly inherited a dyadic model from their historical objects of study, analyzing engagement as a bilateral encounter between reader and text or user and system.</w:t>
      </w:r>
    </w:p>
    <w:p>
      <w:pPr>
        <w:pStyle w:val="BodyText"/>
      </w:pPr>
      <w:r>
        <w:t xml:space="preserve">Platforms operationalize conventional governance forms through computational automation, calibrating market and hierarchy principles across discrete tasks while deploying algorithmic reputation as an evaluative infrastructure (Rahman, 2021; Robinson et al., 2026; Vallas &amp; Schor, 2020). Co-optation defines the structural terms of participant enrollment, allowing an operator to alternate between price mechanisms and administrative command while maintaining unilateral control over the exchange. This triadic positioning updates classical brokerage, dealer, and auctioneer roles analyzed in structural sociology (Simmel, 1908/1950) and network theory (Burt, 2004; Obstfeld, 2005). Functioning as an interested mediating technology (J. D. Thompson, 1967), the platform connects parties who would otherwise never transact, yet systematically subordinates coordination rules to proprietary objectives. Because high-dimensional computational systems generate opaque allocations subject to continuous parameter recalibration, the intermediary operates with broad supervisory discretion. Intrinsic opacity, dynamic adaptivity, and proprietary self-interest collectively neutralize disclosure mandates, securing the economic rents of the mediating position.</w:t>
      </w:r>
    </w:p>
    <w:p>
      <w:pPr>
        <w:pStyle w:val="BodyText"/>
      </w:pPr>
      <w:r>
        <w:t xml:space="preserve">Two-sided market theory formalizes the way structural intermediation generates bottleneck monopoly power over dependent market participants (Armstrong, 2006; Rochet &amp; Tirole, 2003). When one group of transacting parties single-homes while the opposing side multi-homes, the platform secures exclusive access to its dedicated user base, extracting economic surplus from complementors who must reach those users. While an impartial mediator optimizing strictly for coordination efficiency retains this bottleneck leverage, an interested intermediary actively reshapes coordination architectures to advance proprietary objectives. Platform operators face clear equilibrium incentives to steer consumer search toward higher-margin listings (Hagiu &amp; Jullien, 2011), bias recommendation algorithms toward favored sellers (de Cornière &amp; Taylor, 2019), distort marketplace rules to protect fee structures (Teh, 2022), and selectively promote complementors to capture ecosystem value (Rietveld et al., 2019). These economic rents derive directly from discretionary algorithmic control over attention allocation (O’Reilly et al., 2024). Strategic opacity shields this extraction, as disclosing complete operational information reduces the perceived value of platform intermediation and accelerates direct disintermediation (Sekar &amp; Siddiq, 2026). Although formal economic models show that self-preferencing and biased intermediation can occasionally increase consumer welfare by disciplining third-party prices (de Cornière &amp; Taylor, 2019; Hagiu et al., 2022), aggregate efficiency does not cure the democratic deficit. An unreviewable algorithmic allocation remains an imposed hierarchy, and welfare-enhancing algorithmic favoritism remains an arbitrary exercise of power executed without participant voice.</w:t>
      </w:r>
    </w:p>
    <w:bookmarkEnd w:id="13"/>
    <w:bookmarkStart w:id="14" w:name="the-bypass-test-and-the-principles"/>
    <w:p>
      <w:pPr>
        <w:pStyle w:val="Heading2"/>
      </w:pPr>
      <w:r>
        <w:t xml:space="preserve">5. The bypass test and the principles</w:t>
      </w:r>
    </w:p>
    <w:p>
      <w:pPr>
        <w:pStyle w:val="FirstParagraph"/>
      </w:pPr>
      <w:r>
        <w:t xml:space="preserve">The bypass test evaluates intermediary necessity through a counterfactual operation: simulating the restoration of a direct transaction edge between mediated parties to determine whether the intermediary remains structurally binding.</w:t>
      </w:r>
    </w:p>
    <w:p>
      <w:pPr>
        <w:pStyle w:val="BodyText"/>
      </w:pPr>
      <w:r>
        <w:t xml:space="preserve">The test executes two distinct analytical operations that can yield conflicting diagnoses: factoring and the bypass. Factoring evaluates the coordination as currently configured, distinguishing conduit mediations that merely relay communications between separable parties from constitutive mediations that generate non-decomposable joint outcomes. In conduit arrangements, participants govern their interaction using explicit interfaces and contractual terms; in constitutive arrangements, the intermediary binds parties into interdependent outcomes which neither could produce independently. The bypass operation tests structural resilience under counterfactual conditions, asking whether the coordination remains triadic when external prohibitions against direct contact are removed. A centralized marketplace gate that currently channels all buyer-seller transactions represents an irreducible node under existing technical configurations, yet collapses into a bypassable conduit once anti-steering rules are repealed. Conflating current operational irreducibility with structural necessity mistakenly legitimizes contingent gatekeeping as an indispensable economic function.</w:t>
      </w:r>
    </w:p>
    <w:p>
      <w:pPr>
        <w:pStyle w:val="BodyText"/>
      </w:pPr>
      <w:r>
        <w:t xml:space="preserve">The bypass counterfactual classifies intermediaries into four functional categories: necessary, contingent, partial, and reducible. A necessary mediator retains its constitutive coordination role even after direct interaction is restored, providing integrative functions that unmediated exchange cannot reproduce. Central counterparty clearinghouses that become the buyer to every seller and the seller to every buyer exemplify this structural condition (Berndsen, 2021); establishing a direct communication link between market participants cannot duplicate multilateral settlement and risk-bearing. Linguistic interpreters between mutually unintelligible parties occupy an identical position. Conversely, a contingent mediator derives its position solely from the artificial foreclosure of direct exchange, sustained by statutory constraints or contractual exclusivity rather than productive integration. Franchised automobile dealerships represent the paradigmatic case: their gatekeeping position depends on state franchise laws prohibiting direct manufacturer-to-consumer sales, such that statutory repeal dissolves the mandatory bottleneck while leaving inventory and maintenance services to compete on their own merits (Crane, 2016; Lafontaine &amp; Scott Morton, 2010). A partial mediator combines indispensable constitutive integration with a bypassable gatekeeping constraint, whereas a reducible mediator represents an existing conduit that transacting parties can already circumvent without institutional intervention.</w:t>
      </w:r>
    </w:p>
    <w:p>
      <w:pPr>
        <w:pStyle w:val="BodyText"/>
      </w:pPr>
      <w:r>
        <w:t xml:space="preserve">The bypass counterfactual evaluates whether transacting parties can establish direct exchange at comparable cost once an intermediary’s artificial prohibitions are removed. The test restores the structural capability of direct dealing rather than an antecedent historical relationship, as transacting counterparts may have had no prior awareness of one another. Methodologically, the operation lifts negative constraints maintained through prohibition, including anti-steering rules, contractual exclusivity, and platform disintermediation bans, while leaving productive assets such as matching engines, clearing infrastructure, and fulfillment logistics intact. Transaction viability is benchmarked by measuring the marginal cost of the open channel against the total value of the mediated exchange, including the intermediary’s take-rate. In online travel intermediation, for instance, targeted search advertising can reconnect a traveler to a previously visited hotel. Still, direct channels cannot duplicate the initial demand aggregation that surfaces an unknown independent property at equivalent cost. For repeat transactions, platform aggregation operates as a contingent gate; for novel discovery, it functions as a necessary integration. The aggregation capacity is therefore partial. Because intermediary classifications vary across discrete transactional functions and participant positions, the bypass test evaluates specific coordination tasks for a given dependent party rather than categorizing platforms monolithically. As the sociology of platform labor shows, workers with viable outside options and workers locked into platform dependence face fundamentally different intermediary limitations inside the identical technical architecture (Schor et al., 2020).</w:t>
      </w:r>
    </w:p>
    <w:p>
      <w:pPr>
        <w:pStyle w:val="BodyText"/>
      </w:pPr>
      <w:r>
        <w:t xml:space="preserve">Whereas standard methodologies evaluate intermediaries by deleting, substituting, or observing nodes, the bypass test leaves the intermediary node in place and assesses the counterfactual addition of a direct transaction edge. Node-centric evaluations predominate across social science and legal frameworks: structural brokerage models examine rent extraction and non-substitutability (Burt, 2004; Gould &amp; Fernandez, 1989; Ryall &amp; Sorenson, 2007; Stovel &amp; Shaw, 2012); tertius iungens theories analyze whether intermediaries join or separate transacting parties (Obstfeld, 2005); transaction cost economics measures firm boundary decisions (Williamson, 1975); and essential-facilities jurisprudence evaluates whether an excluded rival can viably duplicate an upstream infrastructure (Case C-7/97, paras. 41–46; Graef, 2019; narrowed in Case C-233/23). In contrast, edge-level dynamics appear primarily in supply-chain analyses of bridge decay following direct buyer-supplier contact (Li &amp; Choi, 2009) and platform economics models of transaction leakage (Hagiu &amp; Wright, 2024). Evaluating the edge rather than the node clarifies structural necessity. Under state franchise laws, for example, deleting the franchised dealership node suggests a key distributor because no alternative retail entity is legally authorized; adding the direct manufacturer-to-consumer transaction edge instantly exposes the dealer’s contingency by dissolving its statutory bottleneck. European competition jurisprudence already applies an edge counterfactual to contractual terms under the ancillary-restraints doctrine, exempting restrictive agreements only when the primary commercial operation would be impossible without the restraint in question (Case C-264/23, para. 53). The bypass test applies this analytical operation from legal clauses to discrete algorithmic functions, evaluating intermediation from the dependent complementor’s structural position to inform institutional strategy.</w:t>
      </w:r>
    </w:p>
    <w:p>
      <w:pPr>
        <w:pStyle w:val="BodyText"/>
      </w:pPr>
      <w:r>
        <w:t xml:space="preserve">An application store’s proprietary in-app payment system shows how node-deletion methodologies misdiagnose contingent gatekeeping as a required facility. Under a node-deletion test, assessing whether an alternative payment rail could duplicate the native system’s installed base, default checkout integration, and low friction inevitably frames the proprietary rail as irreplaceable. Yet that diagnosis evaluates only the underlying payment infrastructure and does not justify the contractual rule mandating its exclusive use. Restoring the developer-to-consumer transaction edge through external purchase links or alternative distribution channels (Regulation (EU) 2022/1925, Arts. 5(4), 6(4)) eliminates the exclusionary constraint because negative prohibitions perform no productive integration. Applying the portfolio principle breaks down the payment system accordingly: necessary or partial as an authorizing rail, but strictly contingent as an exclusive gate. United States antitrust jurisprudence has affirmed this precise boundary, upholding contempt sanctions against anti-steering prohibitions while remanding for cost-based pricing of native payment services (Epic Games, Inc. v. Apple, Inc., 2023, 2025). The Digital Markets Act’s anti-steering obligations represent the same edge counterfactual deployed as ex-ante platform regulation.</w:t>
      </w:r>
    </w:p>
    <w:p>
      <w:pPr>
        <w:pStyle w:val="BodyText"/>
      </w:pPr>
      <w:r>
        <w:t xml:space="preserve">Observed market behavior frequently strays from structural counterfactuals because transacting parties unaware of an artificial structural hole make no effort to bridge it, making a contingent mediator appear necessary in empirical transaction records (Hahl et al., 2016). A classification of necessity collapses if, after prohibitions are removed and direct transaction costs are at or below the gross mediated price, market actors execute the exchange directly. Observing aggregate market share trajectories after a contractual ban is repealed does not constitute this test; algorithmic reranking can quietly reinstate the restriction, while information frictions prevent complementors from pursuing the open tie. Platform operators also manipulate structural contingency over time. Ecosystems routinely adopt open architectures early to induce relation-specific complementor investments on favorable terms, then enforce proprietary enclosure once dependence is locked in (Bostoen &amp; Petit, 2024). Because successful trust-building by an intermediary increases the likelihood that parties will transact directly once confidence is established, platforms face incentives to withhold the integrative functions that would make them structurally necessary (Gu &amp; Zhu, 2021). Natural experiments confirm that platform interface revisions can abruptly suppress direct dealing, demonstrating that network edges are malleable architectural choices rather than fixed economic parameters (Gu, 2024). Consequently, functional classifications carry temporal expiration dates, requiring researchers and regulators to re-evaluate the bypass test as governance architectures evolve.</w:t>
      </w:r>
    </w:p>
    <w:p>
      <w:pPr>
        <w:pStyle w:val="BodyText"/>
      </w:pPr>
      <w:r>
        <w:t xml:space="preserve">The bypass test establishes a strategic priority rule grounded in Albert Hirschman’s (1970) framework of exit and voice. Structural bypassability secures the feasibility of exit, whereas functional necessity forecloses it, determining which institutional strategy must take precedence. Where the counterfactual reveals a contingent gate, exit-restoring interventions have priority, opening the bypass through statutory deregulation, mandated technical interoperability, antitrust enforcement, and the invalidation of exclusivity terms. In platform economics, multihoming contestability disciplines bottleneck power whenever complementors can cost-effectively maintain presence across rival networks (Armstrong, 2006; Eisenmann et al., 2006). Conversely, where an intermediary performs an integral integrative function, exit mechanisms are unavailable and voice-building institutions stand alone. Many complementors remain enclosed within contingent mediations through involuntary retention, trapped by high switching costs, multihoming frictions, and relation-specific investments. Whereas Hirschman’s construct of loyalty mobilizes voice by delaying exit, platform-imposed retention suppresses exit without establishing institutional channels for voice.</w:t>
      </w:r>
    </w:p>
    <w:p>
      <w:pPr>
        <w:pStyle w:val="BodyText"/>
      </w:pPr>
      <w:r>
        <w:t xml:space="preserve">Furthermore, exit can substitute for voice rather than reinforce it: quality-sensitive actors depart first, removing the organized complaints that would have compelled institutional reform and leaving the platform insulated from internal critique (Hirschman, 1970). When viable exit exists, complementors default to leaving because platform architectures solicit neither loyalty nor voice (Charles &amp; Gunderson, 2024). Yet even when rival platforms emerge as nominal alternatives, many complementors fail to transition because of coordination barriers and switching friction (Loh &amp; Elsas-Nicolle, 2026). Voice is therefore weakest precisely where functional necessity leaves it as the only viable governance mechanism.</w:t>
      </w:r>
    </w:p>
    <w:p>
      <w:pPr>
        <w:pStyle w:val="BodyText"/>
      </w:pPr>
      <w:r>
        <w:t xml:space="preserve">The portfolio principle states that the bypass test evaluates discrete coordination functions rather than platform enterprises as monolithic entities. A payment network executes indispensable integrating work when authorizing transactions between merchants and issuing banks, an interdependent verification that neither party can conduct independently. Yet the same network historically enforced anti-steering rules to prevent point-of-sale discounts for lower-cost cards, operating a purely contingent gate maintained through contract terms rather than productive necessity (Ohio v. American Express Co., 2018; Schwartz &amp; Vincent, 2020). A major e-commerce marketplace similarly bundles four distinct intermediary functions simultaneously: scalable fulfillment logistics (necessary), algorithmic search matching that repeat buyers can bypass for known brands (partial), paid visibility allocation through the featured-offer position (contingent; European Commission, 2022a; Farronato et al., 2023; Khan, 2017), and direct wholesale reselling that established brands can circumvent (reducible; Hagiu &amp; Wright, 2015; Zhu &amp; Liu, 2018). Complementor dependence is therefore multifaceted rather than unitary, allowing an enterprise to contest an operator’s contingent gatekeeping while actively utilizing its constitutive integration. Modularity research pinpoints where these operational boundaries decouple, locating points of separation where interface dependencies are narrow (Baldwin, 2008; Jacobides et al., 2018). Just as industrial manufacturers manage concurrent sourcing by simultaneously making and buying identical inputs (Parmigiani, 2007), platform complementors pursue a differentiated strategy of contesting bypassable bottlenecks while leveraging necessary infrastructure, a structural nuance obscured whenever dependence is treated as a monolithic operational risk.</w:t>
      </w:r>
    </w:p>
    <w:bookmarkEnd w:id="14"/>
    <w:bookmarkStart w:id="16" w:name="the-bypass-test-at-work"/>
    <w:p>
      <w:pPr>
        <w:pStyle w:val="Heading2"/>
      </w:pPr>
      <w:r>
        <w:t xml:space="preserve">6. The bypass test at work</w:t>
      </w:r>
    </w:p>
    <w:p>
      <w:pPr>
        <w:pStyle w:val="FirstParagraph"/>
      </w:pPr>
      <w:r>
        <w:t xml:space="preserve">The regulatory prohibition of hotel rate parity clauses across the European Union demonstrates how dismantling a contingent contractual gate leaves underlying algorithmic dependence intact. Online travel agencies extract commissions ranging from 10% to over 20% per booking (European Competition Network, 2017) by bundling two functionally distinct operations. First, the intermediary aggregates market demand, exposing independent properties to consumers who would otherwise never discover them, a discovery advantage historically conceptualized as the</w:t>
      </w:r>
      <w:r>
        <w:t xml:space="preserve"> </w:t>
      </w:r>
      <w:r>
        <w:t xml:space="preserve">“billboard effect”</w:t>
      </w:r>
      <w:r>
        <w:t xml:space="preserve"> </w:t>
      </w:r>
      <w:r>
        <w:t xml:space="preserve">(C. K. Anderson, 2009, 2011). Although empirical assessments of this marketing spillover report mixed findings (Beritelli &amp; Schegg, 2016; Stangl et al., 2016), recent examinations confirm net booking profitability across most accommodation segments (O’Connor et al., 2025). Second, platforms historically reinforced this aggregation through pricing parity covenants that barred hotels from offering lower rates on their proprietary websites, establishing a canonical platform most-favored-nation restraint (Boik &amp; Corts, 2016). Applying the bypass counterfactual decouples these bundled functions. For a consumer possessing prior brand awareness, restoring direct transaction capabilities exposes the parity covenant as a purely contingent legal constraint that performs no productive integration. For an unacquainted traveler, however, no open marketing channel duplicates the intermediary’s search aggregation at comparable cost. Intermediary aggregation is therefore structurally partial: functionally necessary for initial market discovery, yet contingent for repeat transactions.</w:t>
      </w:r>
    </w:p>
    <w:p>
      <w:pPr>
        <w:pStyle w:val="BodyText"/>
      </w:pPr>
      <w:r>
        <w:t xml:space="preserve">Regulatory interventions progressively dismantled contractual rate equivalence across the European Union. In July 2015,</w:t>
      </w:r>
      <w:r>
        <w:t xml:space="preserve"> </w:t>
      </w:r>
      <w:hyperlink r:id="rId15">
        <w:r>
          <w:rPr>
            <w:rStyle w:val="Hyperlink"/>
          </w:rPr>
          <w:t xml:space="preserve">Booking.com</w:t>
        </w:r>
      </w:hyperlink>
      <w:r>
        <w:t xml:space="preserve"> </w:t>
      </w:r>
      <w:r>
        <w:t xml:space="preserve">committed to national competition authorities in France, Italy, and Sweden to remove wide parity clauses, while France, Austria, Italy, and Belgium enacted statutory bans between 2015 and 2018. In May 2021, the German Federal Court of Justice affirmed the Bundeskartellamt’s prohibition against narrow parity clauses as well (Calzada et al., 2022; Opinion of Advocate General Collins, 2024, paras. 4–13; Wang &amp; Wright, 2020). The Court of Justice of the European Union consolidated this jurisprudence in September 2024, ruling in</w:t>
      </w:r>
      <w:r>
        <w:t xml:space="preserve"> </w:t>
      </w:r>
      <w:hyperlink r:id="rId15">
        <w:r>
          <w:rPr>
            <w:rStyle w:val="Hyperlink"/>
          </w:rPr>
          <w:t xml:space="preserve">Booking.com</w:t>
        </w:r>
      </w:hyperlink>
      <w:r>
        <w:t xml:space="preserve"> </w:t>
      </w:r>
      <w:r>
        <w:t xml:space="preserve">that parity covenants—wide and narrow alike—do not qualify as ancillary restraints and fall within the prohibition on anticompetitive agreements (Case C-264/23), following the European Commission’s designation of</w:t>
      </w:r>
      <w:r>
        <w:t xml:space="preserve"> </w:t>
      </w:r>
      <w:hyperlink r:id="rId15">
        <w:r>
          <w:rPr>
            <w:rStyle w:val="Hyperlink"/>
          </w:rPr>
          <w:t xml:space="preserve">Booking.com</w:t>
        </w:r>
      </w:hyperlink>
      <w:r>
        <w:t xml:space="preserve"> </w:t>
      </w:r>
      <w:r>
        <w:t xml:space="preserve">as a gatekeeper under the Digital Markets Act (European Commission, 2024). Conceptual models suggest that early voluntary narrowing yielded minimal commercial autonomy, as narrow parity covenants paired with platform best-price guarantees reliably reproduce wide-parity pricing equilibriums (Wals &amp; Schinkel, 2018). The CJEU’s 2024 judgment postdates the longitudinal distribution data evaluated below.</w:t>
      </w:r>
    </w:p>
    <w:p>
      <w:pPr>
        <w:pStyle w:val="BodyText"/>
      </w:pPr>
      <w:r>
        <w:t xml:space="preserve">Rival theoretical interpretations of intermediary power generate divergent empirical predictions about eliminating rate-parity covenants. A unitary substitutability model predicts that dismantling parity restrictions should erode intermediary market share as hoteliers undercut platform prices to redirect bookings toward proprietary direct channels. Conversely, the portfolio model predicts that eliminating a contingent contractual gate leaves the platform’s constitutive demand-aggregation function intact, preserving foundational structural dependence. Longitudinal distribution trends across Europe between 2013 and 2023 align with the portfolio diagnosis: the market share of online travel agencies in European hotel overnight stays expanded from 19.7% to 29.6%, while direct bookings contracted from 57.6% to 50.9% (Schegg, 2024). While macroeconomic shocks, mobile booking adoption, and intermediary consolidation—wherein the leading travel group’s share of agency bookings rose from 60% to 71% (Schegg, 2024)—prevent this decade-long series from serving as an isolated causal test, the empirical trajectory illustrates how platform dependence deepened even as formal gates fell. The substitutability framework correctly identified price effects, as hotels frequently undercut agency rates once legal parity fell, lowering relative prices on direct channels across affected jurisdictions (Ennis et al., 2023; Hunold, Kesler, Laitenberger, &amp; Schlütter, 2018; Mantovani et al., 2021).</w:t>
      </w:r>
    </w:p>
    <w:p>
      <w:pPr>
        <w:pStyle w:val="BodyText"/>
      </w:pPr>
      <w:r>
        <w:t xml:space="preserve">Furthermore, while property-rights models interpret parity covenants as investment protection against complementor free-riding on platform search discovery (Wang &amp; Wright, 2023), investment defense cannot explain why intermediary market share expanded after the prohibition without an underlying algorithmic enforcement mechanism. Empirical research confirms that intermediaries circumvented contract bans by embedding parity enforcement directly into ranking algorithms, systematically demoting properties that offered discounted direct rates (Hunold, Kesler, &amp; Laitenberger, 2020). Legal analyses of the Digital Markets Act confirm that gatekeepers continue to reconstruct parity through algorithmic ranking penalties and targeted price adjustments (Pantazi, 2026). By transferring gatekeeping from written contracts into computational ranking configurations, platforms insulate their allocation rules from contract law, leaving voice-based governance as the only remaining mechanism capable of contesting necessary intermediary power.</w:t>
      </w:r>
    </w:p>
    <w:bookmarkEnd w:id="16"/>
    <w:bookmarkStart w:id="17" w:name="institutions"/>
    <w:p>
      <w:pPr>
        <w:pStyle w:val="Heading2"/>
      </w:pPr>
      <w:r>
        <w:t xml:space="preserve">7. Institutions</w:t>
      </w:r>
    </w:p>
    <w:p>
      <w:pPr>
        <w:pStyle w:val="FirstParagraph"/>
      </w:pPr>
      <w:r>
        <w:t xml:space="preserve">No single policy mechanism establishes coordinative sovereignty; rather, structural standing requires a multi-layered institutional architecture coordinated by the bypass test’s priority rule.</w:t>
      </w:r>
    </w:p>
    <w:p>
      <w:pPr>
        <w:pStyle w:val="BodyText"/>
      </w:pPr>
      <w:r>
        <w:t xml:space="preserve">Data portability and mandated interoperability reduce direct-channel transaction costs, yet their systemic effects depend strictly on the functional classification of the intermediary layer they target. Against a contingent gate, interoperability restores structural independence and market contestability by re-establishing the feasibility of exit. Against an irreplaceable integrative function, however, interoperability cannot produce disintermediation; instead, it operates as regulated access, transposing essential-facilities principles into an institutional mechanism of voice (Case C-7/97; Graef, 2019). The Digital Markets Act formalizes this distinction using targeted access and interoperability mandates for gatekeeper platforms (Regulation (EU) 2022/1925, Arts. 6, 7). In its early implementation reviews, the European Commission (2026) notes that messaging interoperability facilitated market entry for independent European providers, while deferring equivalent obligations for social networking architectures due to asymmetric technical complexity and unproven market demand. By evaluating where interoperability successfully opens direct channels versus where it merely administers access to an unavoidable facility, regulatory authorities implicitly operationalize the edge counterfactual in practice.</w:t>
      </w:r>
    </w:p>
    <w:p>
      <w:pPr>
        <w:pStyle w:val="BodyText"/>
      </w:pPr>
      <w:r>
        <w:t xml:space="preserve">The concept of contestability bifurcates across economic and computational design literatures along the exit-voice boundary. In the regulatory economics of the Digital Markets Act, contestability designates a macro-level market condition defined by low entry barriers and threat of competitive challenge (Crémer et al., 2023), operating primarily as an exit-enabling mechanism. In computational systems design, contestability denotes an architectural property in which a system remains responsive and subject to dispute over its lifecycle, providing structured channels for affected parties to inspect, challenge, and override automated determinations (Alfrink et al., 2023). Within the present framework, contestability refers specifically to this systemic design property, establishing the procedural mechanisms required to exercise voice within an unbypassable mediation.</w:t>
      </w:r>
    </w:p>
    <w:p>
      <w:pPr>
        <w:pStyle w:val="BodyText"/>
      </w:pPr>
      <w:r>
        <w:t xml:space="preserve">Systemic contestability embeds procedural voice directly into algorithmic architectures and rests on an expanding statutory baseline in European law. Under Article 22 of the GDPR, natural persons retain the right to obtain human intervention and contest solely automated determinations (Regulation (EU) 2016/679, Art. 22), a provision that platform worker collectives have leveraged to secure judicial disclosure orders against algorithmic dispatch and account deactivation systems (ECLI:NL:GHAMS:2023:793; ECLI:NL:GHAMS:2023:796). At systemic scale, Articles 20 and 21 of the Digital Services Act formalize case-level contestation through mandatory internal complaint-handling mechanisms and certified out-of-court dispute-settlement bodies (Regulation (EU) 2022/2065, Arts. 20–21). Preliminary empirical assessments of these certified dispute bodies reveal high procedural friction and pronounced enforcement divergence; platforms were judged unjustified in more than half of substantive reviews, yet compliance rates ranged from near-total implementation at some platforms to systemic non-compliance at others (Eder et al., 2026). When confined to proprietary internal channels, participants experience dispute processes as administratively performative procedures that yield negligible structural redress (Vaccaro et al., 2020). Platform-administered complaint portals and private oversight boards absorb discrete task-level grievances while insulating core allocation parameters from external challenge (Douek, 2019; Gegenhuber et al., 2021; Klonick, 2020), delivering case-by-case dispute processing while withholding genuine co-governance standing.</w:t>
      </w:r>
    </w:p>
    <w:p>
      <w:pPr>
        <w:pStyle w:val="BodyText"/>
      </w:pPr>
      <w:r>
        <w:t xml:space="preserve">Collective bargaining adapts an established institution of democratic voice to platform architectures, securing statutory anchors across both employment and independent contractor classifications. Under the European Union Platform Work Directive, member states must actively promote collective bargaining in platform labor and establish institutional measures facilitating the exercise of collective rights over algorithmic management systems (Directive (EU) 2024/2831, Art. 25). Complementing this labor baseline, European Commission competition guidelines explicitly exempt collective bargaining agreements negotiated by solo self-employed workers from antitrust cartel prohibitions (European Commission, 2022b). These statutory channels enable dependent workers and complementors to negotiate foundational algorithmic parameters, including automated task assignment, account deactivation standards, and visibility ranking logics (Johnston &amp; Land-Kazlauskas, 2018). The institutional viability of such arrangements within a necessary mediation depends directly on Elinor Ostrom’s (1990) commons design principles, requiring clear resource boundaries, mutual monitoring mechanisms, and enforceable collective-choice arrangements over shared governance rules. Yet the capacity to form a viable bargaining coalition remains endogenous to platform design. Because platform architectures govern communication channels and determine where collective grievances aggregate, platform operators can dynamically adjust dispatch and matching configurations to dissipate organizing hubs and fragment nascent solidarity (Lei, 2021).</w:t>
      </w:r>
    </w:p>
    <w:p>
      <w:pPr>
        <w:pStyle w:val="BodyText"/>
      </w:pPr>
      <w:r>
        <w:t xml:space="preserve">Furthermore, industrial organization research on countervailing power demonstrates that collective coalitions discipline dominant intermediaries only under specific market configurations, and extracted surplus does not automatically translate into downstream protections for individual participants (Fumagalli &amp; Motta, 2008; Gaudin, 2018). The institutional design of Australia’s News Media Bargaining Code illustrates the necessity of structural backstops: pairing authorized collective bargaining with mandatory final-offer arbitration generated the credible statutory threat required to equalize leverage against digital gatekeepers (Sims, 2022). Procedural voice reshapes algorithmic terms only when public institutions supply the bargaining leverage that platform-enforced retention systematically undermines.</w:t>
      </w:r>
    </w:p>
    <w:p>
      <w:pPr>
        <w:pStyle w:val="BodyText"/>
      </w:pPr>
      <w:r>
        <w:t xml:space="preserve">Data trusts and data cooperatives establish collective governance over the informational inputs that sustain algorithmic mediation. By pooling individual data rights under an independent fiduciary bound by legal duties of loyalty, bottom-up data trusts aggregate the bargaining leverage that individual data subjects inherently lack (Delacroix &amp; Lawrence, 2019; Micheli et al., 2020). This institutional model reflects relational data theory, which demonstrates that informational injuries and market power are fundamentally collective phenomena arising from dataset aggregation rather than discrete personal records (Viljoen, 2021). Grassroots labor practices have frequently outpaced statutory codification: worker collectives increasingly pool earnings and telemetry data to reverse-engineer opaque compensation algorithms, generating empirical evidence to support collective bargaining and dispute claims (Calacci &amp; Pentland, 2022). At the statutory level, the European Data Governance Act established a formal registry for trusted data intermediaries (Regulation (EU) 2022/868), while subsequent legislative measures under the 2025 Digital Omnibus proposal aim to integrate these intermediary rules directly into the Data Act framework (European Commission, 2025a). However, legal scholarship questions the practical market adoption of these administrative intermediary regimes (Carovano &amp; Finck, 2023), and empirical verification of whether collective data trusts can deliver durable procedural standing within necessary mediations remains nascent.</w:t>
      </w:r>
    </w:p>
    <w:p>
      <w:pPr>
        <w:pStyle w:val="BodyText"/>
      </w:pPr>
      <w:r>
        <w:t xml:space="preserve">Platform cooperativism pursues the most direct reallocation of authority by transferring platform ownership to participating workers and users (Scholz, 2016, 2023). When established at viable operating scale, cooperative models convert co-opted participants into member-owners endowed with formal democratic voting rights. However, the structural barriers to this model are well established, including constrained access to capital, powerful network effects favoring incumbent platforms, member-participation deficits, and high collective-governance costs (Bunders &amp; De Moor, 2024; Ghirlanda &amp; Kirov, 2024; Mannan &amp; Pek, 2024). More fundamentally, algorithmic domination can persist across ownership transfers: a worker-owned dispatch cooperative still allocates labor through computational systems that no individual driver can unilaterally circumvent or reconfigure (Christiaens, 2025; Muldoon &amp; Raekstad, 2023). Transferring legal title reallocates who oversees a necessary mediator’s rules, yet it cannot render an indispensable coordination structure bypassable. The requirement for procedural standing within a necessary mediation therefore outlives the distribution of asset ownership, just as formal rights to exit fail to discipline private authoritarian governance in the firm (E. Anderson, 2017).</w:t>
      </w:r>
    </w:p>
    <w:p>
      <w:pPr>
        <w:pStyle w:val="BodyText"/>
      </w:pPr>
      <w:r>
        <w:t xml:space="preserve">Two doctrinal instruments complete the institutional stack: statutory abuse-of-economic-dependence regimes and legal recharacterization. Abuse-of-dependence frameworks across multiple jurisdictions condition regulatory intervention on whether a dependent enterprise lacks viable, reasonable commercial alternatives, operationalizing a legal analog to the bypass test that reaches dominant platforms operating below statutory gatekeeper thresholds (Velasco, 2026). In contrast, legal recharacterization dissolves the mediated triad altogether. Under the European Union Platform Work Directive, a rebuttable presumption of employment triggered by operational indicators of direction and control reassigns workers from triadic intermediation into formal firm hierarchies (Directive (EU) 2024/2831, Art. 5). While recharacterization transforms the formal coordination logic, it absorbs participants into traditional employment structures without conferring co-governance standing over algorithmic design. Recharacterization thus operates as an institutional rival to coordinative sovereignty, yet its jurisdictional boundary remains strictly constrained: it applies exclusively to qualifying labor relations, offering no structural remedy for independent merchants, software developers, or digital creators for whom employment status is categorically inapplicable.</w:t>
      </w:r>
    </w:p>
    <w:p>
      <w:pPr>
        <w:pStyle w:val="BodyText"/>
      </w:pPr>
      <w:r>
        <w:t xml:space="preserve">Table 1 places each instrument against a contingent mediator and against a necessary one.</w:t>
      </w:r>
    </w:p>
    <w:p>
      <w:pPr>
        <w:pStyle w:val="BodyText"/>
      </w:pPr>
      <w:r>
        <w:rPr>
          <w:b/>
          <w:bCs/>
        </w:rPr>
        <w:t xml:space="preserve">Table 1:</w:t>
      </w:r>
      <w:r>
        <w:t xml:space="preserve"> </w:t>
      </w:r>
      <w:r>
        <w:rPr>
          <w:i/>
          <w:iCs/>
        </w:rPr>
        <w:t xml:space="preserve">Institutional instruments of coordinative sovereignty, by mediation type</w:t>
      </w:r>
    </w:p>
    <w:tbl>
      <w:tblPr>
        <w:tblStyle w:val="Table"/>
        <w:tblW w:type="pct" w:w="5000"/>
        <w:tblLayout w:type="fixed"/>
        <w:tblLook w:firstRow="0" w:lastRow="0" w:firstColumn="0" w:lastColumn="0" w:noHBand="0" w:noVBand="0" w:val="0000"/>
      </w:tblPr>
      <w:tblGrid>
        <w:gridCol w:w="1805"/>
        <w:gridCol w:w="2136"/>
        <w:gridCol w:w="3978"/>
      </w:tblGrid>
      <w:tr>
        <w:tc>
          <w:tcPr/>
          <w:p>
            <w:pPr>
              <w:pStyle w:val="Compact"/>
            </w:pPr>
          </w:p>
        </w:tc>
        <w:tc>
          <w:tcPr/>
          <w:p>
            <w:pPr>
              <w:pStyle w:val="Compact"/>
            </w:pPr>
          </w:p>
        </w:tc>
        <w:tc>
          <w:tcPr/>
          <w:p>
            <w:pPr>
              <w:pStyle w:val="Compact"/>
            </w:pPr>
          </w:p>
        </w:tc>
      </w:tr>
      <w:tr>
        <w:tc>
          <w:tcPr/>
          <w:p>
            <w:pPr>
              <w:pStyle w:val="Compact"/>
            </w:pPr>
            <w:r>
              <w:t xml:space="preserve">Interoperability and data portability</w:t>
            </w:r>
          </w:p>
        </w:tc>
        <w:tc>
          <w:tcPr/>
          <w:p>
            <w:pPr>
              <w:pStyle w:val="Compact"/>
            </w:pPr>
            <w:r>
              <w:t xml:space="preserve">Restores market contestability and the feasibility of exit</w:t>
            </w:r>
          </w:p>
        </w:tc>
        <w:tc>
          <w:tcPr/>
          <w:p>
            <w:pPr>
              <w:pStyle w:val="Compact"/>
            </w:pPr>
            <w:r>
              <w:t xml:space="preserve">Establishes regulated access under essential-facilities principles (structural voice)</w:t>
            </w:r>
          </w:p>
        </w:tc>
      </w:tr>
      <w:tr>
        <w:tc>
          <w:tcPr/>
          <w:p>
            <w:pPr>
              <w:pStyle w:val="Compact"/>
            </w:pPr>
            <w:r>
              <w:t xml:space="preserve">Antitrust and anti-steering remedies</w:t>
            </w:r>
          </w:p>
        </w:tc>
        <w:tc>
          <w:tcPr/>
          <w:p>
            <w:pPr>
              <w:pStyle w:val="Compact"/>
            </w:pPr>
            <w:r>
              <w:t xml:space="preserve">Opens the bypass by invalidating exclusionary covenants</w:t>
            </w:r>
          </w:p>
        </w:tc>
        <w:tc>
          <w:tcPr/>
          <w:p>
            <w:pPr>
              <w:pStyle w:val="Compact"/>
            </w:pPr>
            <w:r>
              <w:t xml:space="preserve">Constrains intermediary conduct while preserving underlying structural dependence</w:t>
            </w:r>
          </w:p>
        </w:tc>
      </w:tr>
      <w:tr>
        <w:tc>
          <w:tcPr/>
          <w:p>
            <w:pPr>
              <w:pStyle w:val="Compact"/>
            </w:pPr>
            <w:r>
              <w:t xml:space="preserve">Abuse-of-dependence doctrines</w:t>
            </w:r>
          </w:p>
        </w:tc>
        <w:tc>
          <w:tcPr/>
          <w:p>
            <w:pPr>
              <w:pStyle w:val="Compact"/>
            </w:pPr>
            <w:r>
              <w:t xml:space="preserve">Opens the bypass below statutory gatekeeper thresholds</w:t>
            </w:r>
          </w:p>
        </w:tc>
        <w:tc>
          <w:tcPr/>
          <w:p>
            <w:pPr>
              <w:pStyle w:val="Compact"/>
            </w:pPr>
            <w:r>
              <w:t xml:space="preserve">Disciplines contractual terms and unilateral extraction case by case</w:t>
            </w:r>
          </w:p>
        </w:tc>
      </w:tr>
      <w:tr>
        <w:tc>
          <w:tcPr/>
          <w:p>
            <w:pPr>
              <w:pStyle w:val="Compact"/>
            </w:pPr>
            <w:r>
              <w:t xml:space="preserve">Individual contestability (GDPR Art. 22 / DSA)</w:t>
            </w:r>
          </w:p>
        </w:tc>
        <w:tc>
          <w:tcPr/>
          <w:p>
            <w:pPr>
              <w:pStyle w:val="Compact"/>
            </w:pPr>
            <w:r>
              <w:t xml:space="preserve">Provides marginal case-level friction</w:t>
            </w:r>
          </w:p>
        </w:tc>
        <w:tc>
          <w:tcPr/>
          <w:p>
            <w:pPr>
              <w:pStyle w:val="Compact"/>
            </w:pPr>
            <w:r>
              <w:t xml:space="preserve">Institutionalizes case-level procedural voice and administrative review</w:t>
            </w:r>
          </w:p>
        </w:tc>
      </w:tr>
      <w:tr>
        <w:tc>
          <w:tcPr/>
          <w:p>
            <w:pPr>
              <w:pStyle w:val="Compact"/>
            </w:pPr>
            <w:r>
              <w:t xml:space="preserve">Collective bargaining</w:t>
            </w:r>
          </w:p>
        </w:tc>
        <w:tc>
          <w:tcPr/>
          <w:p>
            <w:pPr>
              <w:pStyle w:val="Compact"/>
            </w:pPr>
            <w:r>
              <w:t xml:space="preserve">Marginal (subordinated to exit when outside options exist)</w:t>
            </w:r>
          </w:p>
        </w:tc>
        <w:tc>
          <w:tcPr/>
          <w:p>
            <w:pPr>
              <w:pStyle w:val="Compact"/>
            </w:pPr>
            <w:r>
              <w:t xml:space="preserve">Establishes rule-level voice over algorithmic design, conditional on credible statutory threats</w:t>
            </w:r>
          </w:p>
        </w:tc>
      </w:tr>
      <w:tr>
        <w:tc>
          <w:tcPr/>
          <w:p>
            <w:pPr>
              <w:pStyle w:val="Compact"/>
            </w:pPr>
            <w:r>
              <w:t xml:space="preserve">Data trusts and data intermediaries</w:t>
            </w:r>
          </w:p>
        </w:tc>
        <w:tc>
          <w:tcPr/>
          <w:p>
            <w:pPr>
              <w:pStyle w:val="Compact"/>
            </w:pPr>
            <w:r>
              <w:t xml:space="preserve">Aggregates collective leverage toward alternative networks</w:t>
            </w:r>
          </w:p>
        </w:tc>
        <w:tc>
          <w:tcPr/>
          <w:p>
            <w:pPr>
              <w:pStyle w:val="Compact"/>
            </w:pPr>
            <w:r>
              <w:t xml:space="preserve">Aggregates informational leverage to enforce co-governance voice</w:t>
            </w:r>
          </w:p>
        </w:tc>
      </w:tr>
      <w:tr>
        <w:tc>
          <w:tcPr/>
          <w:p>
            <w:pPr>
              <w:pStyle w:val="Compact"/>
            </w:pPr>
            <w:r>
              <w:t xml:space="preserve">Platform cooperativism</w:t>
            </w:r>
          </w:p>
        </w:tc>
        <w:tc>
          <w:tcPr/>
          <w:p>
            <w:pPr>
              <w:pStyle w:val="Compact"/>
            </w:pPr>
            <w:r>
              <w:t xml:space="preserve">Capitalizes competitive alternative platforms</w:t>
            </w:r>
          </w:p>
        </w:tc>
        <w:tc>
          <w:tcPr/>
          <w:p>
            <w:pPr>
              <w:pStyle w:val="Compact"/>
            </w:pPr>
            <w:r>
              <w:t xml:space="preserve">Reallocates equity ownership; coordination architecture remains unbypassable</w:t>
            </w:r>
          </w:p>
        </w:tc>
      </w:tr>
      <w:tr>
        <w:tc>
          <w:tcPr/>
          <w:p>
            <w:pPr>
              <w:pStyle w:val="Compact"/>
            </w:pPr>
            <w:r>
              <w:t xml:space="preserve">Platform oversight boards</w:t>
            </w:r>
          </w:p>
        </w:tc>
        <w:tc>
          <w:tcPr/>
          <w:p>
            <w:pPr>
              <w:pStyle w:val="Compact"/>
            </w:pPr>
            <w:r>
              <w:t xml:space="preserve">Marginal</w:t>
            </w:r>
          </w:p>
        </w:tc>
        <w:tc>
          <w:tcPr/>
          <w:p>
            <w:pPr>
              <w:pStyle w:val="Compact"/>
            </w:pPr>
            <w:r>
              <w:t xml:space="preserve">Delivers performative or advisory voice strictly bounded by corporate mandate</w:t>
            </w:r>
          </w:p>
        </w:tc>
      </w:tr>
      <w:tr>
        <w:tc>
          <w:tcPr/>
          <w:p>
            <w:pPr>
              <w:pStyle w:val="Compact"/>
            </w:pPr>
            <w:r>
              <w:t xml:space="preserve">Legal recharacterization (employment presumption)</w:t>
            </w:r>
          </w:p>
        </w:tc>
        <w:tc>
          <w:tcPr/>
          <w:p>
            <w:pPr>
              <w:pStyle w:val="Compact"/>
            </w:pPr>
            <w:r>
              <w:t xml:space="preserve">Redundant / Inapplicable</w:t>
            </w:r>
          </w:p>
        </w:tc>
        <w:tc>
          <w:tcPr/>
          <w:p>
            <w:pPr>
              <w:pStyle w:val="Compact"/>
            </w:pPr>
            <w:r>
              <w:t xml:space="preserve">Dissolves the triad into bilateral firm hierarchy for labor; structurally silent for non-labor complementors</w:t>
            </w:r>
          </w:p>
        </w:tc>
      </w:tr>
    </w:tbl>
    <w:p>
      <w:pPr>
        <w:pStyle w:val="BodyText"/>
      </w:pPr>
      <w:r>
        <w:t xml:space="preserve">The institutional instruments of coordinative sovereignty distribute legal standing unevenly across distinct classes of platform participants. Whereas Article 22 of the GDPR restricts automated decision contestation to natural persons and the Platform Work Directive establishes collective protections for labor, the Platform-to-Business Regulation confines internal complaint handling and representative standing to commercial enterprises (Regulation (EU) 2019/1150, Arts. 11, 14). Consequently, dependent firms and individual workers navigate asymmetric repertoires of institutional recourse when confronting the same intermediary architecture. Across this institutional stack, the governing evaluative criterion is the depth of voice secured: whether a mechanism confers genuine co-governance authority over algorithmic parameters or merely provides defensive safeguards against unilateral extraction. In practice, these instruments operate synergistically. A collective data trust aggregates the informational leverage necessary to render collective bargaining demands credible, while its pooled telemetry feeds the empirical audits that substantiate systemic contestation. Concurrently, interoperability mandates that dissolve contingent gates unbundle peripheral services, allowing dependent actors to bypass non-essential layers and concentrate voice-based resources strictly on indispensable coordination functions. Yet the empirical record reveals a pronounced structural asymmetry: contemporary regulatory instruments predominantly institutionalize case-level grievance processing while systematically withholding authentic co-governance shares in algorithmic rule-making.</w:t>
      </w:r>
    </w:p>
    <w:bookmarkEnd w:id="17"/>
    <w:bookmarkStart w:id="18" w:name="the-two-sovereignties"/>
    <w:p>
      <w:pPr>
        <w:pStyle w:val="Heading2"/>
      </w:pPr>
      <w:r>
        <w:t xml:space="preserve">8. The two sovereignties</w:t>
      </w:r>
    </w:p>
    <w:p>
      <w:pPr>
        <w:pStyle w:val="FirstParagraph"/>
      </w:pPr>
      <w:r>
        <w:t xml:space="preserve">Digital sovereignty and coordinative sovereignty vary independently. An enterprise may secure robust digital sovereignty while denying coordinative sovereignty to the complementors it governs, fulfilling formal regulatory mandates and data-governance standards without conferring structural standing upon the actors it algorithmically binds. Whereas digital sovereignty functions as an informational literacy construct, evaluated by organizations in terms of jurisdictional control over data, regulatory oversight, and technical infrastructure (Hartmann et al., 2025; Moschko et al., 2025), coordinative sovereignty operates as an algorithmacy construct, measuring an actor’s substantive standing and participatory voice within the algorithmic coordination that binds it.</w:t>
      </w:r>
    </w:p>
    <w:p>
      <w:pPr>
        <w:pStyle w:val="BodyText"/>
      </w:pPr>
      <w:r>
        <w:t xml:space="preserve">The first quadrant couples high digital sovereignty with low coordinative sovereignty. Dominant platform operators maintain comprehensive proprietary control over computing infrastructure and satisfy statutory data-protection and gatekeeper compliance mandates, yet systematically deny complementors—including third-party merchants, software developers, and end users—any participatory standing in the governance of algorithmic ranking, review, and matching architectures (Cutolo &amp; Kenney, 2021; Kenney et al., 2021). Recent enforcement actions illustrate the limits of conduct remedies that discipline commercial terms without redistributing algorithmic governance authority. In April 2025, the European Commission fined Apple €500 million for anti-steering restrictions within the App Store (European Commission, 2025b), a decision subject to pending judicial appeal (Case T-438/25) that prompted revised commercial terms in August 2026 (Apple, 2026). While algorithmic ranking transparency was initially established under the Platform-to-Business Regulation alongside internal complaint-handling, mediation, and representative standing mechanisms (Regulation (EU) 2019/1150, Arts. 5, 11, 12, 14), the European Commission’s 2025 Digital Omnibus proposal aims to repeal this framework entirely (European Commission, 2025a). Although legal scholarship supports harmonizing overlapping parameter-disclosure rules across the consumer acquis, the P2B Regulation, and the Digital Services Act (Nolteernsting, 2025), repealing the P2B regime eliminates the only statutory instrument tailored specifically to commercial business users, applicable to search engines and smaller intermediaries operating below Digital Services Act thresholds, and coupled with structured complaint mechanisms. Because recommender transparency under Article 27 of the Digital Services Act runs exclusively to recipients of the service (Regulation (EU) 2022/2065, Art. 27), sunsetting the P2B Regulation dismantles an established channel of business-user standing without providing a functional institutional replacement.</w:t>
      </w:r>
    </w:p>
    <w:p>
      <w:pPr>
        <w:pStyle w:val="BodyText"/>
      </w:pPr>
      <w:r>
        <w:t xml:space="preserve">The second quadrant represents the inverse structural condition: platform labor possessing zero infrastructural ownership while emerging statutory frameworks establish enforceable procedural standing. Under the European Union Platform Work Directive, member states must enact baseline procedural protections by December 2026, including mandatory disclosure rights regarding automated monitoring and decision systems, human review of consequential algorithmic determinations, and statutory restrictions on biometric data processing (Directive (EU) 2024/2831). Because national transposition remains incomplete across member states as of late 2026, this standing currently functions as a binding legislative commitment whose operational force depends on domestic implementation. Article 25 reinforces this architecture by mandating the promotion of collective bargaining in platform work, directly coupling collective voice institutions to procedural standing over algorithmic coordination architectures, even as workers retain no proprietary claim over the underlying computational capital.</w:t>
      </w:r>
    </w:p>
    <w:p>
      <w:pPr>
        <w:pStyle w:val="BodyText"/>
      </w:pPr>
      <w:r>
        <w:t xml:space="preserve">The remaining quadrants complete the typology. The alignment of high digital sovereignty with high coordinative sovereignty represents the institutional ideal democratic governance models strive toward. The federation CoopCycle exemplifies this configuration: local courier cooperatives collectively own the shared software infrastructure while democratically setting remuneration, scheduling, and dispatch rules at the municipal level (Fortuny-Sicart et al., 2024; van Doorn &amp; Badger, 2020). Conversely, the quadrant combining low digital sovereignty with low coordinative sovereignty captures the structural vulnerability of unorganized complementors before institutional intervention—actors who control neither their computational infrastructure nor the algorithmic parameters that govern their economic survival.</w:t>
      </w:r>
    </w:p>
    <w:p>
      <w:pPr>
        <w:pStyle w:val="BodyText"/>
      </w:pPr>
      <w:r>
        <w:t xml:space="preserve">For platform-dependent enterprises, the bypass test operates as a strategic decision protocol for allocating organizational resources between exit and voice, addressing an exposure that falls most heavily on small and medium-sized enterprises lacking the structural scale to influence intermediary policy unilaterally (Kenney et al., 2021; Regulation (EU) 2019/1150, Recital 2). While dominant platforms routinely invest in regulatory compliance to secure jurisdictional digital sovereignty, formal compliance mandates confer no participatory standing upon complementors governed by automated allocation architectures. When confronting a contingent mediator, strategic resource allocation prioritizes exit-enabling mechanisms by adopting interoperability protocols, supporting alternative distribution networks, and dismantling proprietary lock-in. Conversely, when an enterprise depends on an indispensable integrative function where exit is structurally foreclosed, strategic effort must pivot toward constructing collective voice through horizontal complementor coalitions, pooled data trusts, systemic contestability mandates, and formal co-governance institutions and misdiagnosing a necessary mediation as contingent squanders organizational capital on unachievable disintermediation—a strategic failure demonstrated at sector scale across the European hospitality market—whereas misinterpreting a contingent gate as functionally necessary concedes an artificial bottleneck that concerted bypass could dismantle. To the extent that algorithmacy underpins coordinative sovereignty, establishing structural standing within platform ecosystems constitutes a distinct organizational capability that enterprises can systematically cultivate, resource, and audit, even as such internal capacities remain entirely invisible within external platform compliance reviews.</w:t>
      </w:r>
    </w:p>
    <w:p>
      <w:pPr>
        <w:pStyle w:val="BodyText"/>
      </w:pPr>
      <w:r>
        <w:t xml:space="preserve">Conventional debates over digital sovereignty frame a false dichotomy between infrastructural openness—which risks asymmetric dependence on foreign commercial platforms—and state-directed control—which threatens jurisdictional and network fragmentation. For the dependent actor, however, autonomy hinges not on macro-jurisdictional containment but on substantive standing within the coordination system itself, a structural condition that tracks neither pole of the openness–control spectrum. State-enclosed platforms can extinguish participant standing as comprehensively as private gatekeepers: WeChat embeds public administration and law enforcement modules directly into municipal governance without conferring participatory standing or procedural review on users (Bernot, 2025), a structural logic mirrored at the physical network layer by Russia’s sovereign internet infrastructure (Sivetc, 2021; Stadnik, 2021). Conversely, open and federated architectures demonstrate how decentralized infrastructure can support participatory governance. CoopCycle’s federation coordinates shared software development at the federal level while devolving dispatch, remuneration, and working conditions to municipal member cooperatives (Fortuny-Sicart et al., 2024; van Doorn &amp; Badger, 2020), just as federated social network protocols combine low-cost instance exit with localized procedural voice (Gehl &amp; Zulli, 2023). Yet decentralized technical architectures enable voice without guaranteeing democratic efficacy, as ongoing governance disputes within the Drivers Cooperative in New York show: whether formal worker equity delivered genuine operational authority (Tortorici, 2026). Ultimately, while openness and control describe the jurisdictional topology of infrastructure, coordinative sovereignty measures the dependent actor’s relational standing within the computational architecture that coordinates it.</w:t>
      </w:r>
    </w:p>
    <w:bookmarkEnd w:id="18"/>
    <w:bookmarkStart w:id="19" w:name="the-competence-and-its-diffusion"/>
    <w:p>
      <w:pPr>
        <w:pStyle w:val="Heading2"/>
      </w:pPr>
      <w:r>
        <w:t xml:space="preserve">9. The competence and its diffusion</w:t>
      </w:r>
    </w:p>
    <w:p>
      <w:pPr>
        <w:pStyle w:val="FirstParagraph"/>
      </w:pPr>
      <w:r>
        <w:t xml:space="preserve">Exercising coordinative standing requires a specialized capability that remains unevenly distributed across market participants. A companion study conceptualizes this capacity as algorithmacy, defined as the capability through which an actor coordinates with a transacting counterpart via an algorithmic intermediary that simultaneously evaluates both parties and enforces determinations that neither actor unilaterally controls (Author, 2026). At the macro-institutional level, algorithmacy designates the aggregate distribution of this capability across coordinated populations, operating as the structural analog of a literate public. At the individual participant level, the construct comprises three constituent dimensions. The inferential dimension entails the capacity to model the latent logic of an unobservable system, iteratively constructing and refining working theories of its classification and optimization routines from observed input-output variations. The translational dimension denotes the ability to encode one’s actions into parameters the algorithmic interface can interpret, while reciprocally translating computational determinations into strategic consequences for oneself and one’s transacting partner. The temporal dimension encompasses the capacity to maintain strategic continuity and operational coherence within an environment whose governing heuristics and platform rules shift dynamically without notice.</w:t>
      </w:r>
    </w:p>
    <w:p>
      <w:pPr>
        <w:pStyle w:val="BodyText"/>
      </w:pPr>
      <w:r>
        <w:t xml:space="preserve">Existing competence and literacy frameworks focus predominantly on dyadic interactions between an isolated actor and a computational interface, omitting the triadic structure wherein an algorithmic intermediary simultaneously matches transacting counterparts and evaluates their exchange. Sociological and communication studies demonstrate that users construct algorithmic imaginaries and folk theories that systematically direct behavior regardless of technical accuracy (Bucher, 2017; Eslami et al., 2016), an insight formalized through validated scales measuring algorithmic awareness and technical knowledge (DeVito, 2021; Dogruel et al., 2022; Oeldorf-Hirsch &amp; Neubaum, 2025). Platform labor scholarship further details the adaptive sensemaking strategies workers deploy to navigate algorithmic management, including informal heuristic updating, gig-specific communication literacies, and anticipatory compliance tactics designed to satisfy automated dispatch systems preemptively (Bucher et al., 2021; DeVito, 2021; Jarrahi &amp; Sutherland, 2019; Möhlmann et al., 2023; Sutherland et al., 2020), while critical literacy research emphasizes reflexive awareness of data extraction and collective resistance (Pangrazio &amp; Selwyn, 2019; Sander, 2020). Yet each tradition models a bilateral relation between an economic agent and a governing system that acts upon it. Information systems research supplies the missing structural condition: an architecture that simultaneously matches an actor to an external counterpart while algorithmically scoring the resulting transaction across both sides of the market (Möhlmann et al., 2021). The theoretical demarcation of algorithmacy lies in this triadic coordination setting, establishing a targeted conceptual boundary that aligns with calls across communication and computational scholarship for domain-specific constructs in place of undifferentiated general literacies (Gagrčin et al., 2026).</w:t>
      </w:r>
    </w:p>
    <w:p>
      <w:pPr>
        <w:pStyle w:val="BodyText"/>
      </w:pPr>
      <w:r>
        <w:t xml:space="preserve">Empirical field research across diverse platform ecosystems documents this triadic coordination dynamic in practice. On e-commerce marketplaces such as eBay, third-party merchants strategically manage direct customer relations to manipulate the algorithmic reputation architectures that evaluate them, navigating what Curchod et al. (2020) conceptualize as an implicit structural coalition between buyers and the platform operator. Ride-hail drivers similarly mediate their labor resistance through passengers because customer evaluation metrics represent the primary observational surface through which dispatch algorithms evaluate driver standing (Cameron &amp; Rahman, 2022), while independent creative sellers describe mastering ranking systems as acquiring a specialized linguistic repertoire that dictates market visibility and revenue (Klawitter &amp; Hargittai, 2018). Consider a merchant who observes sudden search demotions across specific listings despite maintaining invariant pricing, stock levels, and promotional expenditures. By cross-referencing penalized inventory, the seller infers that the ranking architecture penalizes dispute frequency regardless of whether claims were resolved in her favor—an operational heuristic mirroring payment networks’ risk-scoring protocols, which penalize dispute initiation rather than formal chargeback outcomes. Irrespective of the objective technical veracity of this hypothesis, the merchant alters her commercial conduct: proactively messaging buyers at early indications of dissatisfaction, absorbing contested returns to prevent formal complaints, factoring return costs into baseline prices, and recalibrating these inferences when platform weighting criteria dynamically shift. Because underlying algorithmic scoring rules remain opaque, every operational adjustment targets an external counterpart under the continuous evaluation of an intermediary mechanism. Complementors that can systematically update these behavioral models have an inferential capability that less adaptive actors lack. Because folk theories discipline economic behavior even when technically erroneous (Heiland, 2025), the inferential dimension of algorithmacy is operationalized precisely by this capacity for iterative revision against coordination outcomes, anchoring the construct in observable behavioral adaptation.</w:t>
      </w:r>
    </w:p>
    <w:p>
      <w:pPr>
        <w:pStyle w:val="BodyText"/>
      </w:pPr>
      <w:r>
        <w:t xml:space="preserve">Developing algorithmacy demands significant investments of capital, cognitive attention, and specialized analytical tooling, fostering a secondary commercial market in third-party optimization services. Yet this advisory market predominantly commodifies anticipatory compliance with platform objectives, translating algorithmic opacity into prescriptive heuristics for satisfying platform-defined performance metrics (Bishop, 2020; MacDonald, 2023). Empirical surveys demonstrate that algorithmic literacy correlates strongly with socioeconomic advantage among individual citizens, establishing an asymmetric capability gradient observed primarily across search engines and recommendation feeds (Cotter &amp; Reisdorf, 2020; Gran et al., 2021). Concurrently, platform operators discipline the strategic deployment of this capability as illicit optimization or system</w:t>
      </w:r>
      <w:r>
        <w:t xml:space="preserve"> </w:t>
      </w:r>
      <w:r>
        <w:t xml:space="preserve">“gaming,”</w:t>
      </w:r>
      <w:r>
        <w:t xml:space="preserve"> </w:t>
      </w:r>
      <w:r>
        <w:t xml:space="preserve">an enforcement penalty that falls disproportionately upon peripheral, unestablished creators and merchants lacking institutional legitimacy (Petre et al., 2019). Within formal organizations, agents capable of decoding opaque automated systems emerge as internal structural brokers, consolidating authority over peers who lack interpretive capability (Waardenburg et al., 2022). Well-resourced market incumbents are therefore best equipped to model unobservable platform mechanics and absorb the costs of strategic adaptation. While establishing whether enterprise-level algorithmacy concentrates along identical gradients remains an inferential extrapolation from citizen-level data, the structural distribution of capabilities suggests that coordinative sovereignty concentrates precisely where the resources to cultivate algorithmacy are already held.</w:t>
      </w:r>
    </w:p>
    <w:p>
      <w:pPr>
        <w:pStyle w:val="BodyText"/>
      </w:pPr>
      <w:r>
        <w:t xml:space="preserve">The potential democratization of algorithmacy remains an open question, though historical precedent tempers emancipatory optimism. Mass literacy did not diffuse as an inherently emancipatory project; rather, states compelled primary education following episodes of internal unrest to re-establish social order (Paglayan, 2022, 2024). While literacy expansion preceded democratic sovereignty chronologically, it did not directly cause it structurally (Graff, 1991). Economic dynamics introduce further constraints upon democratization. The contemporary commercial market for algorithmic expertise predominantly teaches compliance rather than contestation (Bishop, 2020; MacDonald, 2023), and the private returns to algorithmacy remain acutely positional. Complementors who master ranking heuristics displace those who do not; reputational investments redistribute visibility while leaving aggregate market scale unchanged, and platform design modifications operate as skill-biased structural shocks that exacerbate inequality rather than generating absolute welfare gains (Koo &amp; Eesley, 2021; Li et al., 2020).</w:t>
      </w:r>
    </w:p>
    <w:p>
      <w:pPr>
        <w:pStyle w:val="BodyText"/>
      </w:pPr>
      <w:r>
        <w:t xml:space="preserve">Consequently, algorithmacy expended on optimizing rank operates as a strictly zero-sum competition across the coordinated class, whereas algorithmacy directed toward institutional voice yields non-rivalrous collective goods. By pooling telemetry to reverse-engineer wage algorithms, compiling empirical audits to substantiate legal contestation, and mobilizing bargaining units to negotiate structural rules rather than relative placements, dependent actors convert individual inferential capabilities into collective procedural standing (Calacci &amp; Pentland, 2022; Shen et al., 2021). Early statutory mechanisms for compulsory capacity-building have begun to formalize this institutional path: the AI Act mandates that deployers implement measures ensuring sufficient AI literacy among personnel (Regulation (EU) 2024/1689, Art. 4, as amended by Regulation (EU) 2026/1744), while the Platform Work Directive entitles labor representatives to independent technical experts financed proportionally by platforms employing over 250 workers in a member state (Directive (EU) 2024/2831, Art. 13). Ultimately, whether coordinative sovereignty democratizes or remains an exclusive prerogative of capitalized incumbents depends on the trajectory of its diffusion—between a commercial market that incentivizes zero-sum positional ranking, and institutional mechanisms that structurally resource collective voice.</w:t>
      </w:r>
    </w:p>
    <w:bookmarkEnd w:id="19"/>
    <w:bookmarkStart w:id="20" w:name="future-research-directions"/>
    <w:p>
      <w:pPr>
        <w:pStyle w:val="Heading2"/>
      </w:pPr>
      <w:r>
        <w:t xml:space="preserve">10. Future research directions</w:t>
      </w:r>
    </w:p>
    <w:p>
      <w:pPr>
        <w:pStyle w:val="FirstParagraph"/>
      </w:pPr>
      <w:r>
        <w:t xml:space="preserve">Empirical operationalization of algorithmacy requires psychometric instruments that demonstrate clear construct and discriminant validity against established measurement frameworks. Existing algorithmic literacy scales capture subjective awareness and declarative technical knowledge (Dogruel et al., 2022); adaptive folk theorization models track cognitive awareness, tactical application, and longitudinal heuristic revision (DeVito, 2021); and multidimensional platform labor scales evaluate worker capacities across understanding, embracing, leveraging, and remediating algorithmic control (Zhou et al., 2025). A dedicated instrument must isolate what these dyadic measures omit: capability deployed simultaneously across an external counterpart and an intermediary system that algorithmically evaluates the joint transaction. Furthermore, because subjective self-report instruments introduce common-method variance and overconfidence bias, and because erroneous folk theories discipline economic conduct as powerfully as accurate ones (Heiland, 2025), measurement must anchor to an objective behavioral criterion. Methodologically, this criterion is operationalized through the predictive accuracy of an actor’s forecasts regarding how an algorithmic system will evaluate and treat specific strategic actions against observed outcomes, with post-error model revision weighted as heavily as baseline predictive calibration.</w:t>
      </w:r>
    </w:p>
    <w:p>
      <w:pPr>
        <w:pStyle w:val="BodyText"/>
      </w:pPr>
      <w:r>
        <w:t xml:space="preserve">Operationalizing a measurement instrument for coordinative sovereignty addresses a distinct theoretical and psychometric objective. The instrument must capture three constituent dimensions—non-domination against arbitrary intermediary discretion, effective procedural voice over mediation terms, and an institutional share in coordination governance—bounded strictly by the scope condition of an indispensable mediation that direct market exchange cannot dissolve. By contrast, commercial lock-in behind a contingent gate represents involuntary retention reducible to switching costs and belongs analytically to the exit column. While the nearest validated organizational behavior construct is psychological empowerment (Seibert et al., 2011; Spreitzer, 1995), discriminant validation requires demonstrating that structural standing within an unbypassable mediation differs fundamentally from perceived empowerment within a voluntary hierarchy and from transactional switching frictions alike. Neo-republican political theory provides a foundational operational indicator in Pettit’s (2012, pp. 84–85)</w:t>
      </w:r>
      <w:r>
        <w:t xml:space="preserve"> </w:t>
      </w:r>
      <w:r>
        <w:t xml:space="preserve">“eyeball test,”</w:t>
      </w:r>
      <w:r>
        <w:t xml:space="preserve"> </w:t>
      </w:r>
      <w:r>
        <w:t xml:space="preserve">assessing whether a dependent actor can interact candidly with intermediary representatives without fear of arbitrary reprisal or the need for anticipatory ingratiation. Finally, because the construct applies across both individual laborers and dependent commercial enterprises, empirical validation necessitates multilevel scale development to assess cross-level measurement invariance and structural correspondence between natural persons and firms.</w:t>
      </w:r>
    </w:p>
    <w:p>
      <w:pPr>
        <w:pStyle w:val="BodyText"/>
      </w:pPr>
      <w:r>
        <w:t xml:space="preserve">The counterfactual framework establishes a two-step empirical research design: first, classifying the structural intermediaries upon which an enterprise depends, and second, evaluating whether organizational strategy aligns with that functional classification—allocating capital toward exit mechanisms against contingent gates and toward institutional voice against indispensable coordination functions. Within this empirical architecture, an enterprise’s coordinative sovereignty reflects both the magnitude of structural standing it commands and its strategic alignment with the mediation type, rendering strategic misallocation an observable, measurable predictor of organizational vulnerability and economic underperformance.</w:t>
      </w:r>
    </w:p>
    <w:p>
      <w:pPr>
        <w:pStyle w:val="BodyText"/>
      </w:pPr>
      <w:r>
        <w:t xml:space="preserve">A final empirical trajectory examines the correspondence between perceived, self-reported standing and objective structural standing derived from formal models of triadic coordination (Author, 2026). While psychometric survey instruments capture an actor’s subjective assessment of procedural voice and non-domination, formal game-theoretic and network models specify standing as an intrinsic mathematical property of pivotal coordination power. Testing whether actors who report high coordinative sovereignty coincide with those whom formal models designate as structurally pivotal provides an indispensable cross-method validation that subjective perceptual metrics cannot supply in isolation.</w:t>
      </w:r>
    </w:p>
    <w:bookmarkEnd w:id="20"/>
    <w:bookmarkStart w:id="21" w:name="conclusion"/>
    <w:p>
      <w:pPr>
        <w:pStyle w:val="Heading2"/>
      </w:pPr>
      <w:r>
        <w:t xml:space="preserve">11. Conclusion</w:t>
      </w:r>
    </w:p>
    <w:p>
      <w:pPr>
        <w:pStyle w:val="FirstParagraph"/>
      </w:pPr>
      <w:r>
        <w:t xml:space="preserve">Sovereignty constitutes the structural standing to hold authority to account through the specific medium in which power is exercised, an accountability that has historically required a capability commensurate with that medium. Rhetorical mastery disciplined authority within oral social orders; textual literacy constrained the bureaucratic administrative state; and digital literacy governs data assets, technical infrastructure, and software code. Platform coordination introduces an operational medium that these prior capabilities cannot discipline because algorithmic authority does not present itself as an interpretable text to be read and contested after the fact. Instead, it enrolls participants into a dynamic computational apparatus that continuously models, scores, and directs their interactions while executing determinations that neither transacting party unilaterally controls. The capability commensurate with this medium is algorithmacy. When intermediary coordination persists even after transacting parties can reach each other directly, this capability activates coordinative sovereignty: procedural voice within the mediation, institutionalized as a substantive share in governing the coordination itself.</w:t>
      </w:r>
    </w:p>
    <w:p>
      <w:pPr>
        <w:pStyle w:val="BodyText"/>
      </w:pPr>
      <w:r>
        <w:t xml:space="preserve">The counterfactual bypass test provides an analytical protocol for distinguishing transient bottlenecks from indispensable mediation by evaluating what functions an intermediary performs once direct communication costs between transacting parties drop to zero. Where an intermediary functions merely as a contingent gate, conventional competition remedies that restore market exit and lower switching frictions successfully dismantle private power. Where the intermediary executes an indispensable integrative function, however, exit is structurally foreclosed; autonomy then depends entirely on institutionalizing voice. Grounded in neo-republican non-domination, relational autonomy, and collective-choice commons governance, this voice is operationalized through systemic contestability architectures, collective data trusts, sectoral bargaining mandates, and structural co-governance institutions. The European hospitality sector’s decade-long regulatory campaign demonstrates the systemic hazard of misdiagnosing this boundary: antitrust interventions dismantled artificial contractual parity gates, yet structural platform dependence persisted because the platform’s indispensable coordinating function remained untouched.</w:t>
      </w:r>
    </w:p>
    <w:p>
      <w:pPr>
        <w:pStyle w:val="BodyText"/>
      </w:pPr>
      <w:r>
        <w:t xml:space="preserve">Just as textual literacy was once the exclusive preserve of an administrative elite before expanding—unevenly and under state compulsion—into a baseline condition of democratic citizenship, algorithmacy currently concentrates within a narrow cohort capable of modeling opaque computational systems. The contemporary commercial market for algorithmic expertise merely commodifies anticipatory compliance and redistributes positional rank in a zero-sum competition for visibility. Establishing authentic coordinative sovereignty across the platform economy therefore requires two interdependent structural foundations: legally enforceable co-governance standing for coordinated complementors, and public institutions designed to systematically diffuse the algorithmacy necessary to convert individual tactical inference into durable, collective voice.</w:t>
      </w:r>
    </w:p>
    <w:bookmarkEnd w:id="21"/>
    <w:bookmarkStart w:id="22" w:name="key-terms-and-definitions"/>
    <w:p>
      <w:pPr>
        <w:pStyle w:val="Heading2"/>
      </w:pPr>
      <w:r>
        <w:t xml:space="preserve">Key Terms and Definitions</w:t>
      </w:r>
    </w:p>
    <w:p>
      <w:pPr>
        <w:pStyle w:val="FirstParagraph"/>
      </w:pPr>
      <w:r>
        <w:rPr>
          <w:b/>
          <w:bCs/>
        </w:rPr>
        <w:t xml:space="preserve">Digital sovereignty:</w:t>
      </w:r>
      <w:r>
        <w:t xml:space="preserve"> The jurisdictional, infrastructural, and regulatory control over digital assets, data flows, and computational systems exercised by a state, enterprise, or collective. In its regulatory dimension, digital sovereignty operates as a literacy construct, established through auditing, interpreting, and enforcing compliance against disclosed system parameters. In its industrial dimension, it operates through asset ownership, control of technical infrastructure, and territorial jurisdiction.</w:t>
      </w:r>
    </w:p>
    <w:p>
      <w:pPr>
        <w:pStyle w:val="BodyText"/>
      </w:pPr>
      <w:r>
        <w:rPr>
          <w:b/>
          <w:bCs/>
        </w:rPr>
        <w:t xml:space="preserve">Coordinative sovereignty:</w:t>
      </w:r>
      <w:r>
        <w:t xml:space="preserve"> The structural standing and relational autonomy of an actor within an indispensable mediation that direct bilateral exchange cannot dissolve. Coordinative sovereignty entails the capacity to shape the terms of intermediation, contest arbitrary algorithmic determinations, and exercise an institutional share in governing the coordination architecture. Its operational mechanism is procedural voice, borne by individual workers or dependent commercial enterprises alike. Structural irreducibility in an existing system configuration does not, by itself, establish functional necessity.</w:t>
      </w:r>
    </w:p>
    <w:p>
      <w:pPr>
        <w:pStyle w:val="BodyText"/>
      </w:pPr>
      <w:r>
        <w:rPr>
          <w:b/>
          <w:bCs/>
        </w:rPr>
        <w:t xml:space="preserve">Algorithmacy:</w:t>
      </w:r>
      <w:r>
        <w:t xml:space="preserve"> The specialized capability through which an actor coordinates with a transacting counterpart via an algorithmic intermediary that simultaneously evaluates both parties and enforces determinations that neither party unilaterally controls (Author, 2026). Comprising inferential (modeling unobservable systemic optimization), translational (encoding conduct into computational parameters and reading outputs), and temporal (sustaining strategic coherence across dynamic, unannounced system revisions) dimensions, algorithmacy is theoretically demarcated from established, dyadic algorithmic literacy and competency constructs by its triadic coordination architecture.</w:t>
      </w:r>
    </w:p>
    <w:p>
      <w:pPr>
        <w:pStyle w:val="BodyText"/>
      </w:pPr>
      <w:r>
        <w:rPr>
          <w:b/>
          <w:bCs/>
        </w:rPr>
        <w:t xml:space="preserve">Medium competence:</w:t>
      </w:r>
      <w:r>
        <w:t xml:space="preserve"> The historically situated capability required to interpret, navigate, and hold authority to account through the dominant medium in which power is institutionalized and exercised. Spanning oracy (oral social orders), textual literacy (bureaucratic state administration), and algorithmacy (computational coordination), each form of medium competence corresponds to an epochal mode of sovereignty and initially concentrates within restricted administrative elites before institutionalized societal diffusion.</w:t>
      </w:r>
    </w:p>
    <w:p>
      <w:pPr>
        <w:pStyle w:val="BodyText"/>
      </w:pPr>
      <w:r>
        <w:rPr>
          <w:b/>
          <w:bCs/>
        </w:rPr>
        <w:t xml:space="preserve">Mediated triad:</w:t>
      </w:r>
      <w:r>
        <w:t xml:space="preserve"> A structural coordination architecture wherein two transacting parties are bound together through an algorithmic intermediary that simultaneously reads, evaluates, and matches both participants, executing binding allocation and scoring determinations that neither party unilaterally controls.</w:t>
      </w:r>
    </w:p>
    <w:p>
      <w:pPr>
        <w:pStyle w:val="BodyText"/>
      </w:pPr>
      <w:r>
        <w:rPr>
          <w:b/>
          <w:bCs/>
        </w:rPr>
        <w:t xml:space="preserve">Co-optation:</w:t>
      </w:r>
      <w:r>
        <w:t xml:space="preserve"> The structural absorption of external participants into an institutional coordination architecture authored and governed by an interested intermediary. Mirroring Selznick’s (1949) model of formal co-optation, platform enrollment preserves the outward procedural forms of participant autonomy and market exchange while rendering them politically and operationally inert.</w:t>
      </w:r>
    </w:p>
    <w:p>
      <w:pPr>
        <w:pStyle w:val="BodyText"/>
      </w:pPr>
      <w:r>
        <w:rPr>
          <w:b/>
          <w:bCs/>
        </w:rPr>
        <w:t xml:space="preserve">Bypass test:</w:t>
      </w:r>
      <w:r>
        <w:t xml:space="preserve"> A counterfactual analytical protocol that evaluates intermediary necessity by hypothetically setting direct communication and transaction costs between transacting counterparts to zero, evaluating whether the intermediary remains constitutive of the coordination. By evaluating the survivability of intermediary function under an unconstrained bilateral tie, the bypass test distinguishes functional coordination value from artificial gatekeeping, departing from standard substitutability tests that evaluate intermediary replacement.</w:t>
      </w:r>
    </w:p>
    <w:p>
      <w:pPr>
        <w:pStyle w:val="BodyText"/>
      </w:pPr>
      <w:r>
        <w:rPr>
          <w:b/>
          <w:bCs/>
        </w:rPr>
        <w:t xml:space="preserve">Necessary mediator:</w:t>
      </w:r>
      <w:r>
        <w:t xml:space="preserve"> An intermediary that remains structurally constitutive of a coordination even when direct bilateral friction between transacting parties is eliminated, deriving its centrality from indispensable integrative functions that direct ties cannot reproduce. Because market exit is structurally foreclosed, participant autonomy depends entirely on institutionalizing procedural voice and co-governance standing.</w:t>
      </w:r>
    </w:p>
    <w:p>
      <w:pPr>
        <w:pStyle w:val="BodyText"/>
      </w:pPr>
      <w:r>
        <w:rPr>
          <w:b/>
          <w:bCs/>
        </w:rPr>
        <w:t xml:space="preserve">Contingent mediator:</w:t>
      </w:r>
      <w:r>
        <w:t xml:space="preserve"> An intermediary whose market power dissipates once direct bilateral exchange is restored, maintaining its position solely through artificial transaction frictions, information asymmetries, or exclusionary contractual covenants (such as price parity or anti-steering rules). Because the intermediary’s function is reducible to gatekeeping, market contestability and participant autonomy can be restored through exit-enabling remedies.</w:t>
      </w:r>
    </w:p>
    <w:p>
      <w:pPr>
        <w:pStyle w:val="BodyText"/>
      </w:pPr>
      <w:r>
        <w:rPr>
          <w:b/>
          <w:bCs/>
        </w:rPr>
        <w:t xml:space="preserve">Partial mediator:</w:t>
      </w:r>
      <w:r>
        <w:t xml:space="preserve"> An intermediary that couples genuine integrative coordination with artificial, bypassable gatekeeping mechanisms. While exit-enabling instruments can dismantle the contingent gate and restore direct-channel competition for peripheral functions, participant autonomy against the remaining indispensable core requires building procedural voice.</w:t>
      </w:r>
    </w:p>
    <w:p>
      <w:pPr>
        <w:pStyle w:val="BodyText"/>
      </w:pPr>
      <w:r>
        <w:rPr>
          <w:b/>
          <w:bCs/>
        </w:rPr>
        <w:t xml:space="preserve">Reducible mediator:</w:t>
      </w:r>
      <w:r>
        <w:t xml:space="preserve"> An intermediary positioned outside the structural core of coordination, which transacting parties can bypass or disintermediate under existing market and legal conditions without requiring regulatory intervention or constraint removal.</w:t>
      </w:r>
    </w:p>
    <w:p>
      <w:pPr>
        <w:pStyle w:val="BodyText"/>
      </w:pPr>
      <w:r>
        <w:rPr>
          <w:b/>
          <w:bCs/>
        </w:rPr>
        <w:t xml:space="preserve">Exit and voice:</w:t>
      </w:r>
      <w:r>
        <w:t xml:space="preserve"> Hirschman’s (1970) foundational typology of organizational responses to institutional decline, adapted to platform dependency. Exit constitutes disintermediation and market switching, operable against contingent mediators; voice constitutes internal contestation and procedural participation, operating as the sole structural mechanism of autonomy within necessary mediations.</w:t>
      </w:r>
    </w:p>
    <w:p>
      <w:pPr>
        <w:pStyle w:val="BodyText"/>
      </w:pPr>
      <w:r>
        <w:rPr>
          <w:b/>
          <w:bCs/>
        </w:rPr>
        <w:t xml:space="preserve">Non-domination:</w:t>
      </w:r>
      <w:r>
        <w:t xml:space="preserve"> The neo-republican conception of liberty defined as immunity from arbitrary or uncontrolled power, rather than mere non-interference (Pettit, 1997, 2012). A platform participant achieves non-domination to the extent that enforceable procedural rules and contestability mechanisms structurally constrain an intermediary’s capacity to exercise unilateral discretion over allocation, ranking, or access terms.</w:t>
      </w:r>
    </w:p>
    <w:p>
      <w:pPr>
        <w:pStyle w:val="BodyText"/>
      </w:pPr>
      <w:r>
        <w:rPr>
          <w:b/>
          <w:bCs/>
        </w:rPr>
        <w:t xml:space="preserve">Irreducibility:</w:t>
      </w:r>
      <w:r>
        <w:t xml:space="preserve"> A structural property of a coordination system that cannot be factored or decomposed into independent dyadic relationships without losing the joint determination produced by the whole. Structural irreducibility reflects how a platform architecture is currently operationalized, but does not independently establish that the intermediary is functionally necessary under counterfactual evaluation.</w:t>
      </w:r>
    </w:p>
    <w:bookmarkEnd w:id="22"/>
    <w:bookmarkStart w:id="23" w:name="ai-disclosure-statement"/>
    <w:p>
      <w:pPr>
        <w:pStyle w:val="Heading2"/>
      </w:pPr>
      <w:r>
        <w:t xml:space="preserve">AI Disclosure Statement</w:t>
      </w:r>
    </w:p>
    <w:p>
      <w:pPr>
        <w:pStyle w:val="FirstParagraph"/>
      </w:pPr>
      <w:r>
        <w:t xml:space="preserve">The authors used computational language and software development systems—specifically Grammarly, Claude (Anthropic), Cursor, Gemini (Google), and Grok (xAI)—to assist with iterative drafting, structural refinement, and editorial review of this chapter. These tools were integrated across multiple phases of research synthesis, argumentation verification, citation checking, and substantive line editing. Every sentence underwent exhaustive human oversight and partitioned analytical review to ensure conceptual precision, argumentative coherence, and rigorous development of the core thesis. All theoretical claims, intellectual syntheses, and final textual formulations were authored, verified, and established under the direct oversight and full responsibility of the authors.</w:t>
      </w:r>
    </w:p>
    <w:bookmarkEnd w:id="23"/>
    <w:bookmarkStart w:id="202" w:name="references"/>
    <w:p>
      <w:pPr>
        <w:pStyle w:val="Heading2"/>
      </w:pPr>
      <w:r>
        <w:t xml:space="preserve">References</w:t>
      </w:r>
    </w:p>
    <w:p>
      <w:pPr>
        <w:pStyle w:val="FirstParagraph"/>
      </w:pPr>
      <w:r>
        <w:t xml:space="preserve">Acheson, J. M. (2003). Capturing the commons: Devising institutions to manage the Maine lobster industry. University Press of New England.</w:t>
      </w:r>
    </w:p>
    <w:p>
      <w:pPr>
        <w:pStyle w:val="BodyText"/>
      </w:pPr>
      <w:r>
        <w:t xml:space="preserve">Adler, P. S. (2001). Market, hierarchy, and trust: The knowledge economy and the future of capitalism. Organization Science, 12(2), 215–234. </w:t>
      </w:r>
      <w:hyperlink r:id="rId24">
        <w:r>
          <w:rPr>
            <w:rStyle w:val="Hyperlink"/>
          </w:rPr>
          <w:t xml:space="preserve">https://doi.org/10.1287/orsc.12.2.215.10117</w:t>
        </w:r>
      </w:hyperlink>
    </w:p>
    <w:p>
      <w:pPr>
        <w:pStyle w:val="BodyText"/>
      </w:pPr>
      <w:r>
        <w:t xml:space="preserve">Ahrne, G., &amp; Brunsson, N. (2011). Organization outside organizations: The significance of partial organization. Organization, 18(1), 83–104. </w:t>
      </w:r>
      <w:hyperlink r:id="rId25">
        <w:r>
          <w:rPr>
            <w:rStyle w:val="Hyperlink"/>
          </w:rPr>
          <w:t xml:space="preserve">https://doi.org/10.1177/1350508410376256</w:t>
        </w:r>
      </w:hyperlink>
    </w:p>
    <w:p>
      <w:pPr>
        <w:pStyle w:val="BodyText"/>
      </w:pPr>
      <w:r>
        <w:t xml:space="preserve">Alfrink, K., Keller, I., Kortuem, G., &amp; Doorn, N. (2023). Contestable AI by design: Towards a framework. Minds and Machines, 33(4), 613–639. </w:t>
      </w:r>
      <w:hyperlink r:id="rId26">
        <w:r>
          <w:rPr>
            <w:rStyle w:val="Hyperlink"/>
          </w:rPr>
          <w:t xml:space="preserve">https://doi.org/10.1007/s11023-022-09611-z</w:t>
        </w:r>
      </w:hyperlink>
    </w:p>
    <w:p>
      <w:pPr>
        <w:pStyle w:val="BodyText"/>
      </w:pPr>
      <w:r>
        <w:t xml:space="preserve">Ananny, M., &amp; Crawford, K. (2018). Seeing without knowing: Limitations of the transparency ideal and its application to algorithmic accountability. New Media &amp; Society, 20(3), 973–989. </w:t>
      </w:r>
      <w:hyperlink r:id="rId27">
        <w:r>
          <w:rPr>
            <w:rStyle w:val="Hyperlink"/>
          </w:rPr>
          <w:t xml:space="preserve">https://doi.org/10.1177/1461444816676645</w:t>
        </w:r>
      </w:hyperlink>
    </w:p>
    <w:p>
      <w:pPr>
        <w:pStyle w:val="BodyText"/>
      </w:pPr>
      <w:r>
        <w:t xml:space="preserve">Anderson, B. (2006). Imagined communities: Reflections on the origin and spread of nationalism (Rev. ed.). Verso. (Original work published 1983)</w:t>
      </w:r>
    </w:p>
    <w:p>
      <w:pPr>
        <w:pStyle w:val="BodyText"/>
      </w:pPr>
      <w:r>
        <w:t xml:space="preserve">Anderson, C. K. (2009). The billboard effect: Online travel agent impact on non-OTA reservation volume (Cornell Hospitality Report, Vol. 9, No. 16). Cornell University Center for Hospitality Research. </w:t>
      </w:r>
      <w:hyperlink r:id="rId28">
        <w:r>
          <w:rPr>
            <w:rStyle w:val="Hyperlink"/>
          </w:rPr>
          <w:t xml:space="preserve">https://ecommons.cornell.edu/items/c9ddec73-3e3a-443b-97be-9467eebb3bcd</w:t>
        </w:r>
      </w:hyperlink>
    </w:p>
    <w:p>
      <w:pPr>
        <w:pStyle w:val="BodyText"/>
      </w:pPr>
      <w:r>
        <w:t xml:space="preserve">Anderson, C. K. (2011). Search, OTAs, and online booking: An expanded analysis of the billboard effect (Cornell Hospitality Report, Vol. 11, No. 8). Cornell University Center for Hospitality Research. </w:t>
      </w:r>
      <w:hyperlink r:id="rId29">
        <w:r>
          <w:rPr>
            <w:rStyle w:val="Hyperlink"/>
          </w:rPr>
          <w:t xml:space="preserve">https://ecommons.cornell.edu/items/9923ee6a-ac32-48d3-a73e-0fbf26c32137</w:t>
        </w:r>
      </w:hyperlink>
    </w:p>
    <w:p>
      <w:pPr>
        <w:pStyle w:val="BodyText"/>
      </w:pPr>
      <w:r>
        <w:t xml:space="preserve">Anderson, E. (2017). Private government: How employers rule our lives (and why we don’t talk about it). Princeton University Press. </w:t>
      </w:r>
      <w:hyperlink r:id="rId30">
        <w:r>
          <w:rPr>
            <w:rStyle w:val="Hyperlink"/>
          </w:rPr>
          <w:t xml:space="preserve">https://doi.org/10.1515/9781400887781</w:t>
        </w:r>
      </w:hyperlink>
    </w:p>
    <w:p>
      <w:pPr>
        <w:pStyle w:val="BodyText"/>
      </w:pPr>
      <w:r>
        <w:t xml:space="preserve">Apple. (2026, August 18). Changes for apps in the European Union. Apple Developer. </w:t>
      </w:r>
      <w:hyperlink r:id="rId31">
        <w:r>
          <w:rPr>
            <w:rStyle w:val="Hyperlink"/>
          </w:rPr>
          <w:t xml:space="preserve">https://developer.apple.com/support/apps-in-the-eu/</w:t>
        </w:r>
      </w:hyperlink>
    </w:p>
    <w:p>
      <w:pPr>
        <w:pStyle w:val="BodyText"/>
      </w:pPr>
      <w:r>
        <w:t xml:space="preserve">Armstrong, M. (2006). Competition in two-sided markets. RAND Journal of Economics, 37(3), 668–691. </w:t>
      </w:r>
      <w:hyperlink r:id="rId32">
        <w:r>
          <w:rPr>
            <w:rStyle w:val="Hyperlink"/>
          </w:rPr>
          <w:t xml:space="preserve">https://doi.org/10.1111/j.1756-2171.2006.tb00037.x</w:t>
        </w:r>
      </w:hyperlink>
    </w:p>
    <w:p>
      <w:pPr>
        <w:pStyle w:val="BodyText"/>
      </w:pPr>
      <w:r>
        <w:t xml:space="preserve">Author. (2026). Details omitted for double-anonymized review.</w:t>
      </w:r>
    </w:p>
    <w:p>
      <w:pPr>
        <w:pStyle w:val="BodyText"/>
      </w:pPr>
      <w:r>
        <w:t xml:space="preserve">Baldwin, C. Y. (2008). Where do transactions come from? Modularity, transactions, and the boundaries of firms. Industrial and Corporate Change, 17(1), 155–195. </w:t>
      </w:r>
      <w:hyperlink r:id="rId33">
        <w:r>
          <w:rPr>
            <w:rStyle w:val="Hyperlink"/>
          </w:rPr>
          <w:t xml:space="preserve">https://doi.org/10.1093/icc/dtm036</w:t>
        </w:r>
      </w:hyperlink>
    </w:p>
    <w:p>
      <w:pPr>
        <w:pStyle w:val="BodyText"/>
      </w:pPr>
      <w:r>
        <w:t xml:space="preserve">Beritelli, P., &amp; Schegg, R. (2016). Maximizing online bookings through a multi-channel strategy: Effects of interdependencies and networks. International Journal of Contemporary Hospitality Management, 28(1), 68–88. </w:t>
      </w:r>
      <w:hyperlink r:id="rId34">
        <w:r>
          <w:rPr>
            <w:rStyle w:val="Hyperlink"/>
          </w:rPr>
          <w:t xml:space="preserve">https://doi.org/10.1108/IJCHM-07-2014-0326</w:t>
        </w:r>
      </w:hyperlink>
    </w:p>
    <w:p>
      <w:pPr>
        <w:pStyle w:val="BodyText"/>
      </w:pPr>
      <w:r>
        <w:t xml:space="preserve">Berndsen, R. (2021). Fundamental questions on central counterparties: A review of the literature. Journal of Futures Markets, 41(12), 2009–2022. </w:t>
      </w:r>
      <w:hyperlink r:id="rId35">
        <w:r>
          <w:rPr>
            <w:rStyle w:val="Hyperlink"/>
          </w:rPr>
          <w:t xml:space="preserve">https://doi.org/10.1002/fut.22260</w:t>
        </w:r>
      </w:hyperlink>
    </w:p>
    <w:p>
      <w:pPr>
        <w:pStyle w:val="BodyText"/>
      </w:pPr>
      <w:r>
        <w:t xml:space="preserve">Bernot, A. (2025). WeChat-as-a-police service. Policy &amp; Internet, 17(4), Article e70018. </w:t>
      </w:r>
      <w:hyperlink r:id="rId36">
        <w:r>
          <w:rPr>
            <w:rStyle w:val="Hyperlink"/>
          </w:rPr>
          <w:t xml:space="preserve">https://doi.org/10.1002/poi3.70018</w:t>
        </w:r>
      </w:hyperlink>
    </w:p>
    <w:p>
      <w:pPr>
        <w:pStyle w:val="BodyText"/>
      </w:pPr>
      <w:r>
        <w:t xml:space="preserve">Bishop, S. (2020). Algorithmic experts: Selling algorithmic lore on YouTube. Social Media + Society, 6(1). </w:t>
      </w:r>
      <w:hyperlink r:id="rId37">
        <w:r>
          <w:rPr>
            <w:rStyle w:val="Hyperlink"/>
          </w:rPr>
          <w:t xml:space="preserve">https://doi.org/10.1177/2056305119897323</w:t>
        </w:r>
      </w:hyperlink>
    </w:p>
    <w:p>
      <w:pPr>
        <w:pStyle w:val="BodyText"/>
      </w:pPr>
      <w:r>
        <w:t xml:space="preserve">Bloch, M. (Ed.). (1975). Political language and oratory in traditional society. Academic Press.</w:t>
      </w:r>
    </w:p>
    <w:p>
      <w:pPr>
        <w:pStyle w:val="BodyText"/>
      </w:pPr>
      <w:r>
        <w:t xml:space="preserve">Bodin, J. (1992). On sovereignty: Four chapters from the six books of the commonwealth (J. H. Franklin, Ed. &amp; Trans.). Cambridge University Press. (Original work published 1576)</w:t>
      </w:r>
    </w:p>
    <w:p>
      <w:pPr>
        <w:pStyle w:val="BodyText"/>
      </w:pPr>
      <w:r>
        <w:t xml:space="preserve">Boik, A., &amp; Corts, K. S. (2016). The effects of platform most-favored-nation clauses on competition and entry. Journal of Law and Economics, 59(1), 105–134. </w:t>
      </w:r>
      <w:hyperlink r:id="rId38">
        <w:r>
          <w:rPr>
            <w:rStyle w:val="Hyperlink"/>
          </w:rPr>
          <w:t xml:space="preserve">https://doi.org/10.1086/686971</w:t>
        </w:r>
      </w:hyperlink>
    </w:p>
    <w:p>
      <w:pPr>
        <w:pStyle w:val="BodyText"/>
      </w:pPr>
      <w:r>
        <w:t xml:space="preserve">Bostoen, F., &amp; Petit, N. (2024). Antitrust rules and remedies against platforms’ treacherous turns. European Law Journal, 30(4), 629–652. </w:t>
      </w:r>
      <w:hyperlink r:id="rId39">
        <w:r>
          <w:rPr>
            <w:rStyle w:val="Hyperlink"/>
          </w:rPr>
          <w:t xml:space="preserve">https://doi.org/10.1111/eulj.12533</w:t>
        </w:r>
      </w:hyperlink>
    </w:p>
    <w:p>
      <w:pPr>
        <w:pStyle w:val="BodyText"/>
      </w:pPr>
      <w:r>
        <w:t xml:space="preserve">Bradford, A. (2023). Digital empires: The global battle to regulate technology. Oxford University Press.</w:t>
      </w:r>
    </w:p>
    <w:p>
      <w:pPr>
        <w:pStyle w:val="BodyText"/>
      </w:pPr>
      <w:r>
        <w:t xml:space="preserve">Bratton, B. H. (2015). The stack: On software and sovereignty. MIT Press.</w:t>
      </w:r>
    </w:p>
    <w:p>
      <w:pPr>
        <w:pStyle w:val="BodyText"/>
      </w:pPr>
      <w:r>
        <w:t xml:space="preserve">Bucher, E. L., Schou, P. K., &amp; Waldkirch, M. (2021). Pacifying the algorithm – Anticipatory compliance in the face of algorithmic management in the gig economy. Organization, 28(1), 44–67. </w:t>
      </w:r>
      <w:hyperlink r:id="rId40">
        <w:r>
          <w:rPr>
            <w:rStyle w:val="Hyperlink"/>
          </w:rPr>
          <w:t xml:space="preserve">https://doi.org/10.1177/1350508420961531</w:t>
        </w:r>
      </w:hyperlink>
    </w:p>
    <w:p>
      <w:pPr>
        <w:pStyle w:val="BodyText"/>
      </w:pPr>
      <w:r>
        <w:t xml:space="preserve">Bucher, T. (2017). The algorithmic imaginary: Exploring the ordinary affects of Facebook algorithms. Information, Communication &amp; Society, 20(1), 30–44. </w:t>
      </w:r>
      <w:hyperlink r:id="rId41">
        <w:r>
          <w:rPr>
            <w:rStyle w:val="Hyperlink"/>
          </w:rPr>
          <w:t xml:space="preserve">https://doi.org/10.1080/1369118X.2016.1154086</w:t>
        </w:r>
      </w:hyperlink>
    </w:p>
    <w:p>
      <w:pPr>
        <w:pStyle w:val="BodyText"/>
      </w:pPr>
      <w:r>
        <w:t xml:space="preserve">Bunders, D. J., &amp; De Moor, T. (2024). Paradoxical tensions as a double-edged sword: Analysing the development of platform cooperatives in the European gig economy. Journal of Management Inquiry, 33(4). </w:t>
      </w:r>
      <w:hyperlink r:id="rId42">
        <w:r>
          <w:rPr>
            <w:rStyle w:val="Hyperlink"/>
          </w:rPr>
          <w:t xml:space="preserve">https://doi.org/10.1177/10564926231202422</w:t>
        </w:r>
      </w:hyperlink>
    </w:p>
    <w:p>
      <w:pPr>
        <w:pStyle w:val="BodyText"/>
      </w:pPr>
      <w:r>
        <w:t xml:space="preserve">Burrell, J. (2016). How the machine thinks: Understanding opacity in machine learning algorithms. Big Data &amp; Society, 3(1). </w:t>
      </w:r>
      <w:hyperlink r:id="rId43">
        <w:r>
          <w:rPr>
            <w:rStyle w:val="Hyperlink"/>
          </w:rPr>
          <w:t xml:space="preserve">https://doi.org/10.1177/2053951715622512</w:t>
        </w:r>
      </w:hyperlink>
    </w:p>
    <w:p>
      <w:pPr>
        <w:pStyle w:val="BodyText"/>
      </w:pPr>
      <w:r>
        <w:t xml:space="preserve">Burt, R. S. (2004). Structural holes and good ideas. American Journal of Sociology, 110(2), 349–399. </w:t>
      </w:r>
      <w:hyperlink r:id="rId44">
        <w:r>
          <w:rPr>
            <w:rStyle w:val="Hyperlink"/>
          </w:rPr>
          <w:t xml:space="preserve">https://doi.org/10.1086/421787</w:t>
        </w:r>
      </w:hyperlink>
    </w:p>
    <w:p>
      <w:pPr>
        <w:pStyle w:val="BodyText"/>
      </w:pPr>
      <w:r>
        <w:t xml:space="preserve">Calacci, D., &amp; Pentland, A. (2022). Bargaining with the black-box: Designing and deploying worker-centric tools to audit algorithmic management. Proceedings of the ACM on Human-Computer Interaction, 6(CSCW2), Article 428. </w:t>
      </w:r>
      <w:hyperlink r:id="rId45">
        <w:r>
          <w:rPr>
            <w:rStyle w:val="Hyperlink"/>
          </w:rPr>
          <w:t xml:space="preserve">https://doi.org/10.1145/3570601</w:t>
        </w:r>
      </w:hyperlink>
    </w:p>
    <w:p>
      <w:pPr>
        <w:pStyle w:val="BodyText"/>
      </w:pPr>
      <w:r>
        <w:t xml:space="preserve">Calzada, J., Manna, E., &amp; Mantovani, A. (2022). Platform price parity clauses and market segmentation. Journal of Economics &amp; Management Strategy, 31(3), 609–637. </w:t>
      </w:r>
      <w:hyperlink r:id="rId46">
        <w:r>
          <w:rPr>
            <w:rStyle w:val="Hyperlink"/>
          </w:rPr>
          <w:t xml:space="preserve">https://doi.org/10.1111/jems.12467</w:t>
        </w:r>
      </w:hyperlink>
    </w:p>
    <w:p>
      <w:pPr>
        <w:pStyle w:val="BodyText"/>
      </w:pPr>
      <w:r>
        <w:t xml:space="preserve">Cameron, L. D., &amp; Rahman, H. (2022). Expanding the locus of resistance: Understanding the co-constitution of control and resistance in the gig economy. Organization Science, 33(1), 38–58. </w:t>
      </w:r>
      <w:hyperlink r:id="rId47">
        <w:r>
          <w:rPr>
            <w:rStyle w:val="Hyperlink"/>
          </w:rPr>
          <w:t xml:space="preserve">https://doi.org/10.1287/orsc.2021.1557</w:t>
        </w:r>
      </w:hyperlink>
    </w:p>
    <w:p>
      <w:pPr>
        <w:pStyle w:val="BodyText"/>
      </w:pPr>
      <w:r>
        <w:t xml:space="preserve">Carovano, G., &amp; Finck, M. (2023). Regulating data intermediaries: The impact of the Data Governance Act on the EU’s data economy. Computer Law &amp; Security Review, 50, Article 105830. </w:t>
      </w:r>
      <w:hyperlink r:id="rId48">
        <w:r>
          <w:rPr>
            <w:rStyle w:val="Hyperlink"/>
          </w:rPr>
          <w:t xml:space="preserve">https://doi.org/10.1016/j.clsr.2023.105830</w:t>
        </w:r>
      </w:hyperlink>
    </w:p>
    <w:p>
      <w:pPr>
        <w:pStyle w:val="BodyText"/>
      </w:pPr>
      <w:r>
        <w:t xml:space="preserve">Charles, S., &amp; Gunderson, R. (2024). Exit, voice, and loyalty in the platform economy. Journal for the Theory of Social Behaviour, 54(4), 476–493. </w:t>
      </w:r>
      <w:hyperlink r:id="rId49">
        <w:r>
          <w:rPr>
            <w:rStyle w:val="Hyperlink"/>
          </w:rPr>
          <w:t xml:space="preserve">https://doi.org/10.1111/jtsb.12428</w:t>
        </w:r>
      </w:hyperlink>
    </w:p>
    <w:p>
      <w:pPr>
        <w:pStyle w:val="BodyText"/>
      </w:pPr>
      <w:r>
        <w:t xml:space="preserve">Christiaens, T. (2025). Platform cooperativism and freedom as non-domination in the gig economy. European Journal of Political Theory, 24(2), 176–199. </w:t>
      </w:r>
      <w:hyperlink r:id="rId50">
        <w:r>
          <w:rPr>
            <w:rStyle w:val="Hyperlink"/>
          </w:rPr>
          <w:t xml:space="preserve">https://doi.org/10.1177/14748851241227121</w:t>
        </w:r>
      </w:hyperlink>
    </w:p>
    <w:p>
      <w:pPr>
        <w:pStyle w:val="BodyText"/>
      </w:pPr>
      <w:r>
        <w:t xml:space="preserve">Christin, A. (2020). The ethnographer and the algorithm: Beyond the black box. Theory and Society, 49(5), 897–918. </w:t>
      </w:r>
      <w:hyperlink r:id="rId51">
        <w:r>
          <w:rPr>
            <w:rStyle w:val="Hyperlink"/>
          </w:rPr>
          <w:t xml:space="preserve">https://doi.org/10.1007/s11186-020-09411-3</w:t>
        </w:r>
      </w:hyperlink>
    </w:p>
    <w:p>
      <w:pPr>
        <w:pStyle w:val="BodyText"/>
      </w:pPr>
      <w:r>
        <w:t xml:space="preserve">Cicerchia, L. (2022). Structural domination in the labor market. European Journal of Political Theory, 21(1), 4–24. </w:t>
      </w:r>
      <w:hyperlink r:id="rId52">
        <w:r>
          <w:rPr>
            <w:rStyle w:val="Hyperlink"/>
          </w:rPr>
          <w:t xml:space="preserve">https://doi.org/10.1177/1474885119851094</w:t>
        </w:r>
      </w:hyperlink>
    </w:p>
    <w:p>
      <w:pPr>
        <w:pStyle w:val="BodyText"/>
      </w:pPr>
      <w:r>
        <w:t xml:space="preserve">Clanchy, M. T. (2013). From memory to written record: England 1066–1307 (3rd ed.). Wiley-Blackwell.</w:t>
      </w:r>
    </w:p>
    <w:p>
      <w:pPr>
        <w:pStyle w:val="BodyText"/>
      </w:pPr>
      <w:r>
        <w:t xml:space="preserve">Cohen, J. E. (2017). Law for the platform economy. UC Davis Law Review, 51(1), 133–204. </w:t>
      </w:r>
      <w:hyperlink r:id="rId53">
        <w:r>
          <w:rPr>
            <w:rStyle w:val="Hyperlink"/>
          </w:rPr>
          <w:t xml:space="preserve">https://lawreview.law.ucdavis.edu/archives/51/1/law-platform-economy</w:t>
        </w:r>
      </w:hyperlink>
    </w:p>
    <w:p>
      <w:pPr>
        <w:pStyle w:val="BodyText"/>
      </w:pPr>
      <w:r>
        <w:t xml:space="preserve">Cotter, K. (2023). Shadowbanning is not a thing: Black box gaslighting and the power to independently know and credibly critique algorithms. Information, Communication &amp; Society, 26(6), 1226–1243. </w:t>
      </w:r>
      <w:hyperlink r:id="rId54">
        <w:r>
          <w:rPr>
            <w:rStyle w:val="Hyperlink"/>
          </w:rPr>
          <w:t xml:space="preserve">https://doi.org/10.1080/1369118X.2021.1994624</w:t>
        </w:r>
      </w:hyperlink>
    </w:p>
    <w:p>
      <w:pPr>
        <w:pStyle w:val="BodyText"/>
      </w:pPr>
      <w:r>
        <w:t xml:space="preserve">Cotter, K., &amp; Reisdorf, B. C. (2020). Algorithmic knowledge gaps: A new horizon of (digital) inequality. International Journal of Communication, 14, 745–765.</w:t>
      </w:r>
    </w:p>
    <w:p>
      <w:pPr>
        <w:pStyle w:val="BodyText"/>
      </w:pPr>
      <w:r>
        <w:t xml:space="preserve">Couture, S., &amp; Toupin, S. (2019). What does the notion of sovereignty mean when referring to the digital? New Media &amp; Society, 21(10), 2305–2322. </w:t>
      </w:r>
      <w:hyperlink r:id="rId55">
        <w:r>
          <w:rPr>
            <w:rStyle w:val="Hyperlink"/>
          </w:rPr>
          <w:t xml:space="preserve">https://doi.org/10.1177/1461444819865984</w:t>
        </w:r>
      </w:hyperlink>
    </w:p>
    <w:p>
      <w:pPr>
        <w:pStyle w:val="BodyText"/>
      </w:pPr>
      <w:r>
        <w:t xml:space="preserve">Couture, S., Toupin, S., &amp; Mayoral Baños, A. (2025). Resisting and claiming digital sovereignty: The cases of civil society and Indigenous groups. Policy &amp; Internet, 16(4), 739–749. </w:t>
      </w:r>
      <w:hyperlink r:id="rId56">
        <w:r>
          <w:rPr>
            <w:rStyle w:val="Hyperlink"/>
          </w:rPr>
          <w:t xml:space="preserve">https://doi.org/10.1002/poi3.434</w:t>
        </w:r>
      </w:hyperlink>
    </w:p>
    <w:p>
      <w:pPr>
        <w:pStyle w:val="BodyText"/>
      </w:pPr>
      <w:r>
        <w:t xml:space="preserve">Crane, D. A. (2016). Tesla, dealer franchise laws, and the politics of crony capitalism. Iowa Law Review, 101(2), 573–607. </w:t>
      </w:r>
      <w:hyperlink r:id="rId57">
        <w:r>
          <w:rPr>
            <w:rStyle w:val="Hyperlink"/>
          </w:rPr>
          <w:t xml:space="preserve">https://ilr.law.uiowa.edu/sites/ilr.law.uiowa.edu/files/2023-02/ILR-101-2-Crane.pdf</w:t>
        </w:r>
      </w:hyperlink>
    </w:p>
    <w:p>
      <w:pPr>
        <w:pStyle w:val="BodyText"/>
      </w:pPr>
      <w:r>
        <w:t xml:space="preserve">Crémer, J., Crawford, G. S., Dinielli, D., Fletcher, A., Heidhues, P., Schnitzer, M., &amp; Scott Morton, F. M. (2023). Fairness and contestability in the Digital Markets Act. Yale Journal on Regulation, 40(3), 973–1011.</w:t>
      </w:r>
    </w:p>
    <w:p>
      <w:pPr>
        <w:pStyle w:val="BodyText"/>
      </w:pPr>
      <w:r>
        <w:t xml:space="preserve">Curchod, C., Patriotta, G., Cohen, L., &amp; Neysen, N. (2020). Working for an algorithm: Power asymmetries and agency in online work settings. Administrative Science Quarterly, 65(3), 644–676. </w:t>
      </w:r>
      <w:hyperlink r:id="rId58">
        <w:r>
          <w:rPr>
            <w:rStyle w:val="Hyperlink"/>
          </w:rPr>
          <w:t xml:space="preserve">https://doi.org/10.1177/0001839219867024</w:t>
        </w:r>
      </w:hyperlink>
    </w:p>
    <w:p>
      <w:pPr>
        <w:pStyle w:val="BodyText"/>
      </w:pPr>
      <w:r>
        <w:t xml:space="preserve">Cutolo, D., &amp; Kenney, M. (2021). Platform-dependent entrepreneurs: Power asymmetries, risks, and strategies in the platform economy. Academy of Management Perspectives, 35(4), 584–605. </w:t>
      </w:r>
      <w:hyperlink r:id="rId59">
        <w:r>
          <w:rPr>
            <w:rStyle w:val="Hyperlink"/>
          </w:rPr>
          <w:t xml:space="preserve">https://doi.org/10.5465/amp.2019.0103</w:t>
        </w:r>
      </w:hyperlink>
    </w:p>
    <w:p>
      <w:pPr>
        <w:pStyle w:val="BodyText"/>
      </w:pPr>
      <w:r>
        <w:t xml:space="preserve">de Cornière, A., &amp; Taylor, G. (2019). A model of biased intermediation. RAND Journal of Economics, 50(4), 854–882. </w:t>
      </w:r>
      <w:hyperlink r:id="rId60">
        <w:r>
          <w:rPr>
            <w:rStyle w:val="Hyperlink"/>
          </w:rPr>
          <w:t xml:space="preserve">https://doi.org/10.1111/1756-2171.12298</w:t>
        </w:r>
      </w:hyperlink>
    </w:p>
    <w:p>
      <w:pPr>
        <w:pStyle w:val="BodyText"/>
      </w:pPr>
      <w:r>
        <w:t xml:space="preserve">Delacroix, S., &amp; Lawrence, N. D. (2019). Bottom-up data trusts: Disturbing the one size fits all approach to data governance. International Data Privacy Law, 9(4), 236–252. </w:t>
      </w:r>
      <w:hyperlink r:id="rId61">
        <w:r>
          <w:rPr>
            <w:rStyle w:val="Hyperlink"/>
          </w:rPr>
          <w:t xml:space="preserve">https://doi.org/10.1093/idpl/ipz014</w:t>
        </w:r>
      </w:hyperlink>
    </w:p>
    <w:p>
      <w:pPr>
        <w:pStyle w:val="BodyText"/>
      </w:pPr>
      <w:r>
        <w:t xml:space="preserve">DeVito, M. A. (2021). Adaptive folk theorization as a path to algorithmic literacy on changing platforms. Proceedings of the ACM on Human-Computer Interaction, 5(CSCW2), Article 339. </w:t>
      </w:r>
      <w:hyperlink r:id="rId62">
        <w:r>
          <w:rPr>
            <w:rStyle w:val="Hyperlink"/>
          </w:rPr>
          <w:t xml:space="preserve">https://doi.org/10.1145/3476080</w:t>
        </w:r>
      </w:hyperlink>
    </w:p>
    <w:p>
      <w:pPr>
        <w:pStyle w:val="BodyText"/>
      </w:pPr>
      <w:r>
        <w:t xml:space="preserve">Dogruel, L., Masur, P., &amp; Joeckel, S. (2022). Development and validation of an algorithm literacy scale for internet users. Communication Methods and Measures, 16(2), 115–133. </w:t>
      </w:r>
      <w:hyperlink r:id="rId63">
        <w:r>
          <w:rPr>
            <w:rStyle w:val="Hyperlink"/>
          </w:rPr>
          <w:t xml:space="preserve">https://doi.org/10.1080/19312458.2021.1968361</w:t>
        </w:r>
      </w:hyperlink>
    </w:p>
    <w:p>
      <w:pPr>
        <w:pStyle w:val="BodyText"/>
      </w:pPr>
      <w:r>
        <w:t xml:space="preserve">Douek, E. (2019). Facebook’s</w:t>
      </w:r>
      <w:r>
        <w:t xml:space="preserve"> </w:t>
      </w:r>
      <w:r>
        <w:t xml:space="preserve">‘Oversight Board’</w:t>
      </w:r>
      <w:r>
        <w:t xml:space="preserve">: Move fast with stable infrastructure and humility. North Carolina Journal of Law &amp; Technology, 21(1), 1–78. </w:t>
      </w:r>
      <w:hyperlink r:id="rId64">
        <w:r>
          <w:rPr>
            <w:rStyle w:val="Hyperlink"/>
          </w:rPr>
          <w:t xml:space="preserve">https://scholarship.law.unc.edu/ncjolt/vol21/iss1/2/</w:t>
        </w:r>
      </w:hyperlink>
    </w:p>
    <w:p>
      <w:pPr>
        <w:pStyle w:val="BodyText"/>
      </w:pPr>
      <w:r>
        <w:t xml:space="preserve">Dubal, V. (2023). On algorithmic wage discrimination. Columbia Law Review, 123(7), 1929–1992.</w:t>
      </w:r>
    </w:p>
    <w:p>
      <w:pPr>
        <w:pStyle w:val="BodyText"/>
      </w:pPr>
      <w:r>
        <w:t xml:space="preserve">Eder, N., Russo, A., Kaarlep, A., Zurdo, L., &amp; Sengupta, T. (2026, June 8). State of play of DSA dispute settlement: Meaningful redress, uneven results. DSA Observatory. </w:t>
      </w:r>
      <w:hyperlink r:id="rId65">
        <w:r>
          <w:rPr>
            <w:rStyle w:val="Hyperlink"/>
          </w:rPr>
          <w:t xml:space="preserve">https://dsa-observatory.eu/2026/06/08/state-of-play-of-dsa-dispute-settlement-meaningful-redress-uneven-results/</w:t>
        </w:r>
      </w:hyperlink>
    </w:p>
    <w:p>
      <w:pPr>
        <w:pStyle w:val="BodyText"/>
      </w:pPr>
      <w:r>
        <w:t xml:space="preserve">Edler, J., Blind, K., Kroll, H., &amp; Schubert, T. (2023). Technology sovereignty as an emerging frame for innovation policy: Defining rationales, ends and means. Research Policy, 52(6), Article 104765. </w:t>
      </w:r>
      <w:hyperlink r:id="rId66">
        <w:r>
          <w:rPr>
            <w:rStyle w:val="Hyperlink"/>
          </w:rPr>
          <w:t xml:space="preserve">https://doi.org/10.1016/j.respol.2023.104765</w:t>
        </w:r>
      </w:hyperlink>
    </w:p>
    <w:p>
      <w:pPr>
        <w:pStyle w:val="BodyText"/>
      </w:pPr>
      <w:r>
        <w:t xml:space="preserve">Eisenmann, T., Parker, G., &amp; Van Alstyne, M. W. (2006). Strategies for two-sided markets. Harvard Business Review, 84(10), 92–101.</w:t>
      </w:r>
    </w:p>
    <w:p>
      <w:pPr>
        <w:pStyle w:val="BodyText"/>
      </w:pPr>
      <w:r>
        <w:t xml:space="preserve">Eisenstein, E. L. (1979). The printing press as an agent of change: Communications and cultural transformations in early-modern Europe (2 vols.). Cambridge University Press.</w:t>
      </w:r>
    </w:p>
    <w:p>
      <w:pPr>
        <w:pStyle w:val="BodyText"/>
      </w:pPr>
      <w:r>
        <w:t xml:space="preserve">Ennis, S. F., Ivaldi, M., &amp; Lagos, V. (2023). Price-parity clauses for hotel room booking: Empirical evidence from regulatory change. Journal of Law and Economics, 66(2), 309–331. </w:t>
      </w:r>
      <w:hyperlink r:id="rId67">
        <w:r>
          <w:rPr>
            <w:rStyle w:val="Hyperlink"/>
          </w:rPr>
          <w:t xml:space="preserve">https://doi.org/10.1086/723456</w:t>
        </w:r>
      </w:hyperlink>
    </w:p>
    <w:p>
      <w:pPr>
        <w:pStyle w:val="BodyText"/>
      </w:pPr>
      <w:r>
        <w:t xml:space="preserve">Eslami, M., Karahalios, K., Sandvig, C., Vaccaro, K., Rickman, A., Hamilton, K., &amp; Kirlik, A. (2016). First I like it, then I hide it: Folk theories of social feeds. In Proceedings of the 2016 CHI Conference on Human Factors in Computing Systems (pp. 2371–2382). ACM. </w:t>
      </w:r>
      <w:hyperlink r:id="rId68">
        <w:r>
          <w:rPr>
            <w:rStyle w:val="Hyperlink"/>
          </w:rPr>
          <w:t xml:space="preserve">https://doi.org/10.1145/2858036.2858494</w:t>
        </w:r>
      </w:hyperlink>
    </w:p>
    <w:p>
      <w:pPr>
        <w:pStyle w:val="BodyText"/>
      </w:pPr>
      <w:r>
        <w:t xml:space="preserve">Espeland, W. N., &amp; Sauder, M. (2007). Rankings and reactivity: How public measures recreate social worlds. American Journal of Sociology, 113(1), 1–40. </w:t>
      </w:r>
      <w:hyperlink r:id="rId69">
        <w:r>
          <w:rPr>
            <w:rStyle w:val="Hyperlink"/>
          </w:rPr>
          <w:t xml:space="preserve">https://doi.org/10.1086/517897</w:t>
        </w:r>
      </w:hyperlink>
    </w:p>
    <w:p>
      <w:pPr>
        <w:pStyle w:val="BodyText"/>
      </w:pPr>
      <w:r>
        <w:t xml:space="preserve">European Commission. (2022a, December 20). Antitrust: Commission accepts commitments by Amazon barring it from using marketplace seller data, and ensuring equal access to Buy Box and Prime [Press release IP/22/7777]. </w:t>
      </w:r>
      <w:hyperlink r:id="rId70">
        <w:r>
          <w:rPr>
            <w:rStyle w:val="Hyperlink"/>
          </w:rPr>
          <w:t xml:space="preserve">https://ec.europa.eu/commission/presscorner/detail/en/ip_22_7777</w:t>
        </w:r>
      </w:hyperlink>
    </w:p>
    <w:p>
      <w:pPr>
        <w:pStyle w:val="BodyText"/>
      </w:pPr>
      <w:r>
        <w:t xml:space="preserve">European Commission. (2022b). Guidelines on the application of Union competition law to collective agreements regarding the working conditions of solo self-employed persons (2022/C 374/02). Official Journal of the European Union, C 374, 2–13.</w:t>
      </w:r>
    </w:p>
    <w:p>
      <w:pPr>
        <w:pStyle w:val="BodyText"/>
      </w:pPr>
      <w:r>
        <w:t xml:space="preserve">European Commission. (2023). Report from the Commission to the European Parliament, the Council, the European Economic and Social Committee and the Committee of the Regions on the first preliminary review on the implementation of Regulation (EU) 2019/1150 on promoting fairness and transparency for business users of online intermediation services (COM(2023) 525 final). </w:t>
      </w:r>
      <w:hyperlink r:id="rId71">
        <w:r>
          <w:rPr>
            <w:rStyle w:val="Hyperlink"/>
          </w:rPr>
          <w:t xml:space="preserve">https://eur-lex.europa.eu/legal-content/EN/TXT/?uri=CELEX:52023DC0525</w:t>
        </w:r>
      </w:hyperlink>
    </w:p>
    <w:p>
      <w:pPr>
        <w:pStyle w:val="BodyText"/>
      </w:pPr>
      <w:r>
        <w:t xml:space="preserve">European Commission. (2024, May 13). Commission designates Booking as a gatekeeper and opens a market investigation into X [Press release]. IP/24/2561. </w:t>
      </w:r>
      <w:hyperlink r:id="rId72">
        <w:r>
          <w:rPr>
            <w:rStyle w:val="Hyperlink"/>
          </w:rPr>
          <w:t xml:space="preserve">https://ec.europa.eu/commission/presscorner/detail/en/ip_24_2561</w:t>
        </w:r>
      </w:hyperlink>
    </w:p>
    <w:p>
      <w:pPr>
        <w:pStyle w:val="BodyText"/>
      </w:pPr>
      <w:r>
        <w:t xml:space="preserve">European Commission. (2025a). Proposal for a regulation of the European Parliament and of the Council amending Regulations (EU) 2016/679, (EU) 2018/1724, (EU) 2018/1725, (EU) 2023/2854 and Directives 2002/58/EC, (EU) 2022/2555 and (EU) 2022/2557 as regards the simplification of the digital legislative framework, and repealing Regulations (EU) 2018/1807, (EU) 2019/1150, (EU) 2022/868, and Directive (EU) 2019/1024 (Digital Omnibus) (COM(2025) 837 final). </w:t>
      </w:r>
      <w:hyperlink r:id="rId73">
        <w:r>
          <w:rPr>
            <w:rStyle w:val="Hyperlink"/>
          </w:rPr>
          <w:t xml:space="preserve">https://eur-lex.europa.eu/legal-content/EN/TXT/?uri=CELEX:52025PC0837</w:t>
        </w:r>
      </w:hyperlink>
    </w:p>
    <w:p>
      <w:pPr>
        <w:pStyle w:val="BodyText"/>
      </w:pPr>
      <w:r>
        <w:t xml:space="preserve">European Commission. (2025b). Summary of Commission decision of 23 April 2025 relating to a decision pursuant to Articles 29(1), point (a), 30(1), point (a), and 31(1), point (h), of Regulation (EU) 2022/1925 (Case DMA.100109 – Apple – Online intermediation services – app stores – AppStore – Art. 5(4)) (OJ C/2025/3348, 16 June 2025).</w:t>
      </w:r>
    </w:p>
    <w:p>
      <w:pPr>
        <w:pStyle w:val="BodyText"/>
      </w:pPr>
      <w:r>
        <w:t xml:space="preserve">European Commission. (2026). Report from the Commission to the European Parliament, the Council and the European Economic and Social Committee on the review of Regulation (EU) 2022/1925 of the European Parliament and of the Council on contestable and fair markets in the digital sector and amending Directives (EU) 2019/1937 and (EU) 2020/1828 (Digital Markets Act) (COM(2026) 178 final). </w:t>
      </w:r>
      <w:hyperlink r:id="rId74">
        <w:r>
          <w:rPr>
            <w:rStyle w:val="Hyperlink"/>
          </w:rPr>
          <w:t xml:space="preserve">https://eur-lex.europa.eu/legal-content/EN/TXT/?uri=CELEX:52026DC0178</w:t>
        </w:r>
      </w:hyperlink>
    </w:p>
    <w:p>
      <w:pPr>
        <w:pStyle w:val="BodyText"/>
      </w:pPr>
      <w:r>
        <w:t xml:space="preserve">European Competition Network. (2017). Report on the monitoring exercise carried out in the online hotel booking sector by EU competition authorities in 2016. European Commission, DG Competition. </w:t>
      </w:r>
      <w:hyperlink r:id="rId75">
        <w:r>
          <w:rPr>
            <w:rStyle w:val="Hyperlink"/>
          </w:rPr>
          <w:t xml:space="preserve">https://competition-policy.ec.europa.eu/document/download/c50b5e61-1ea3-47bc-ac4c-57d35f8f77fa_en?filename=hotel_monitoring_report_en.pdf</w:t>
        </w:r>
      </w:hyperlink>
    </w:p>
    <w:p>
      <w:pPr>
        <w:pStyle w:val="BodyText"/>
      </w:pPr>
      <w:r>
        <w:t xml:space="preserve">Falkner, G., Heidebrecht, S., Obendiek, A. S., &amp; Seidl, T. (2024). Digital sovereignty – Rhetoric and reality. Journal of European Public Policy, 31(8), 2099–2120. </w:t>
      </w:r>
      <w:hyperlink r:id="rId76">
        <w:r>
          <w:rPr>
            <w:rStyle w:val="Hyperlink"/>
          </w:rPr>
          <w:t xml:space="preserve">https://doi.org/10.1080/13501763.2024.2358984</w:t>
        </w:r>
      </w:hyperlink>
    </w:p>
    <w:p>
      <w:pPr>
        <w:pStyle w:val="BodyText"/>
      </w:pPr>
      <w:r>
        <w:t xml:space="preserve">Farronato, C., Fradkin, A., &amp; MacKay, A. (2023). Self-preferencing at Amazon: Evidence from search rankings. AEA Papers and Proceedings, 113, 239–243. </w:t>
      </w:r>
      <w:hyperlink r:id="rId77">
        <w:r>
          <w:rPr>
            <w:rStyle w:val="Hyperlink"/>
          </w:rPr>
          <w:t xml:space="preserve">https://doi.org/10.1257/pandp.20231068</w:t>
        </w:r>
      </w:hyperlink>
    </w:p>
    <w:p>
      <w:pPr>
        <w:pStyle w:val="BodyText"/>
      </w:pPr>
      <w:r>
        <w:t xml:space="preserve">Finnegan, R. (1988). Literacy and orality: Studies in the technology of communication. Basil Blackwell.</w:t>
      </w:r>
    </w:p>
    <w:p>
      <w:pPr>
        <w:pStyle w:val="BodyText"/>
      </w:pPr>
      <w:r>
        <w:t xml:space="preserve">Fitz, L. R., &amp; Scheeg, J. (2025). Coping practices of small- and medium-sized enterprises facing power asymmetry in digital platform business. Strategic Change. Advance online publication. </w:t>
      </w:r>
      <w:hyperlink r:id="rId78">
        <w:r>
          <w:rPr>
            <w:rStyle w:val="Hyperlink"/>
          </w:rPr>
          <w:t xml:space="preserve">https://doi.org/10.1002/jsc.2657</w:t>
        </w:r>
      </w:hyperlink>
    </w:p>
    <w:p>
      <w:pPr>
        <w:pStyle w:val="BodyText"/>
      </w:pPr>
      <w:r>
        <w:t xml:space="preserve">Floridi, L. (2020). The fight for digital sovereignty: What it is, and why it matters, especially for the EU. Philosophy &amp; Technology, 33(3), 369–378. </w:t>
      </w:r>
      <w:hyperlink r:id="rId79">
        <w:r>
          <w:rPr>
            <w:rStyle w:val="Hyperlink"/>
          </w:rPr>
          <w:t xml:space="preserve">https://doi.org/10.1007/s13347-020-00423-6</w:t>
        </w:r>
      </w:hyperlink>
    </w:p>
    <w:p>
      <w:pPr>
        <w:pStyle w:val="BodyText"/>
      </w:pPr>
      <w:r>
        <w:t xml:space="preserve">Fortuny-Sicart, A., Pansera, M., &amp; Lloveras, J. (2024). Directing innovation through confrontation and democratisation: The case of platform cooperativism. Journal of Responsible Innovation, 11(1), Article 2414512. </w:t>
      </w:r>
      <w:hyperlink r:id="rId80">
        <w:r>
          <w:rPr>
            <w:rStyle w:val="Hyperlink"/>
          </w:rPr>
          <w:t xml:space="preserve">https://doi.org/10.1080/23299460.2024.2414512</w:t>
        </w:r>
      </w:hyperlink>
    </w:p>
    <w:p>
      <w:pPr>
        <w:pStyle w:val="BodyText"/>
      </w:pPr>
      <w:r>
        <w:t xml:space="preserve">Fox, J. (2007). The uncertain relationship between transparency and accountability. Development in Practice, 17(4–5), 663–671. </w:t>
      </w:r>
      <w:hyperlink r:id="rId81">
        <w:r>
          <w:rPr>
            <w:rStyle w:val="Hyperlink"/>
          </w:rPr>
          <w:t xml:space="preserve">https://doi.org/10.1080/09614520701469955</w:t>
        </w:r>
      </w:hyperlink>
    </w:p>
    <w:p>
      <w:pPr>
        <w:pStyle w:val="BodyText"/>
      </w:pPr>
      <w:r>
        <w:t xml:space="preserve">Fratini, S., Hine, E., Novelli, C., Roberts, H., &amp; Floridi, L. (2024). Digital sovereignty: A descriptive analysis and a critical evaluation of existing models. Digital Society, 3(3), Article 59. </w:t>
      </w:r>
      <w:hyperlink r:id="rId82">
        <w:r>
          <w:rPr>
            <w:rStyle w:val="Hyperlink"/>
          </w:rPr>
          <w:t xml:space="preserve">https://doi.org/10.1007/s44206-024-00146-7</w:t>
        </w:r>
      </w:hyperlink>
    </w:p>
    <w:p>
      <w:pPr>
        <w:pStyle w:val="BodyText"/>
      </w:pPr>
      <w:r>
        <w:t xml:space="preserve">Fumagalli, C., &amp; Motta, M. (2008). Buyer power and quality improvement. Economic Journal, 118(531), 1196–1222.</w:t>
      </w:r>
    </w:p>
    <w:p>
      <w:pPr>
        <w:pStyle w:val="BodyText"/>
      </w:pPr>
      <w:r>
        <w:t xml:space="preserve">Gädeke, D. (2020). Does a mugger dominate? Episodic power and the structural dimension of domination. Journal of Political Philosophy, 28(2), 199–221. </w:t>
      </w:r>
      <w:hyperlink r:id="rId83">
        <w:r>
          <w:rPr>
            <w:rStyle w:val="Hyperlink"/>
          </w:rPr>
          <w:t xml:space="preserve">https://doi.org/10.1111/jopp.12202</w:t>
        </w:r>
      </w:hyperlink>
    </w:p>
    <w:p>
      <w:pPr>
        <w:pStyle w:val="BodyText"/>
      </w:pPr>
      <w:r>
        <w:t xml:space="preserve">Gagrčin, E., Naab, T. K., &amp; Grub, M. F. (2026). Algorithmic media use and algorithm literacy: An integrative literature review. New Media &amp; Society, 28(1), 423–447. </w:t>
      </w:r>
      <w:hyperlink r:id="rId84">
        <w:r>
          <w:rPr>
            <w:rStyle w:val="Hyperlink"/>
          </w:rPr>
          <w:t xml:space="preserve">https://doi.org/10.1177/14614448241291137</w:t>
        </w:r>
      </w:hyperlink>
    </w:p>
    <w:p>
      <w:pPr>
        <w:pStyle w:val="BodyText"/>
      </w:pPr>
      <w:r>
        <w:t xml:space="preserve">Gaudin, G. (2018). Vertical bargaining and retail competition: What drives countervailing power? Economic Journal, 128(614), 2380–2413. </w:t>
      </w:r>
      <w:hyperlink r:id="rId85">
        <w:r>
          <w:rPr>
            <w:rStyle w:val="Hyperlink"/>
          </w:rPr>
          <w:t xml:space="preserve">https://doi.org/10.1111/ecoj.12506</w:t>
        </w:r>
      </w:hyperlink>
    </w:p>
    <w:p>
      <w:pPr>
        <w:pStyle w:val="BodyText"/>
      </w:pPr>
      <w:r>
        <w:t xml:space="preserve">Gegenhuber, T., Ellmer, M., &amp; Schüßler, E. (2021). Microphones, not megaphones: Functional crowdworker voice regimes on digital work platforms. Human Relations, 74(9), 1473–1503. </w:t>
      </w:r>
      <w:hyperlink r:id="rId86">
        <w:r>
          <w:rPr>
            <w:rStyle w:val="Hyperlink"/>
          </w:rPr>
          <w:t xml:space="preserve">https://doi.org/10.1177/0018726720915761</w:t>
        </w:r>
      </w:hyperlink>
    </w:p>
    <w:p>
      <w:pPr>
        <w:pStyle w:val="BodyText"/>
      </w:pPr>
      <w:r>
        <w:t xml:space="preserve">Gehl, R. W., &amp; Zulli, D. (2023). The digital covenant: Non-centralized platform governance on the Mastodon social network. Information, Communication &amp; Society, 26(16), 3275–3291. </w:t>
      </w:r>
      <w:hyperlink r:id="rId87">
        <w:r>
          <w:rPr>
            <w:rStyle w:val="Hyperlink"/>
          </w:rPr>
          <w:t xml:space="preserve">https://doi.org/10.1080/1369118X.2022.2147400</w:t>
        </w:r>
      </w:hyperlink>
    </w:p>
    <w:p>
      <w:pPr>
        <w:pStyle w:val="BodyText"/>
      </w:pPr>
      <w:r>
        <w:t xml:space="preserve">Ghirlanda, P., &amp; Kirov, V. (2024). An alternative organizational model for a more democratic and equitable digital economy: A systematic literature review on platform cooperativism through the lens of stakeholder theory. Competitive advantages and challenges. Annals of Public and Cooperative Economics, 95(4), 1197–1221. </w:t>
      </w:r>
      <w:hyperlink r:id="rId88">
        <w:r>
          <w:rPr>
            <w:rStyle w:val="Hyperlink"/>
          </w:rPr>
          <w:t xml:space="preserve">https://doi.org/10.1111/apce.12478</w:t>
        </w:r>
      </w:hyperlink>
    </w:p>
    <w:p>
      <w:pPr>
        <w:pStyle w:val="BodyText"/>
      </w:pPr>
      <w:r>
        <w:t xml:space="preserve">Goody, J. (1986). The logic of writing and the organization of society. Cambridge University Press. </w:t>
      </w:r>
      <w:hyperlink r:id="rId89">
        <w:r>
          <w:rPr>
            <w:rStyle w:val="Hyperlink"/>
          </w:rPr>
          <w:t xml:space="preserve">https://doi.org/10.1017/CBO9780511621598</w:t>
        </w:r>
      </w:hyperlink>
    </w:p>
    <w:p>
      <w:pPr>
        <w:pStyle w:val="BodyText"/>
      </w:pPr>
      <w:r>
        <w:t xml:space="preserve">Goody, J., &amp; Watt, I. (1963). The consequences of literacy. Comparative Studies in Society and History, 5(3), 304–345. </w:t>
      </w:r>
      <w:hyperlink r:id="rId90">
        <w:r>
          <w:rPr>
            <w:rStyle w:val="Hyperlink"/>
          </w:rPr>
          <w:t xml:space="preserve">https://doi.org/10.1017/S0010417500001730</w:t>
        </w:r>
      </w:hyperlink>
    </w:p>
    <w:p>
      <w:pPr>
        <w:pStyle w:val="BodyText"/>
      </w:pPr>
      <w:r>
        <w:t xml:space="preserve">Gould, R. V., &amp; Fernandez, R. M. (1989). Structures of mediation: A formal approach to brokerage in transaction networks. Sociological Methodology, 19, 89–126. </w:t>
      </w:r>
      <w:hyperlink r:id="rId91">
        <w:r>
          <w:rPr>
            <w:rStyle w:val="Hyperlink"/>
          </w:rPr>
          <w:t xml:space="preserve">https://doi.org/10.2307/270949</w:t>
        </w:r>
      </w:hyperlink>
    </w:p>
    <w:p>
      <w:pPr>
        <w:pStyle w:val="BodyText"/>
      </w:pPr>
      <w:r>
        <w:t xml:space="preserve">Graef, I. (2019). Rethinking the essential facilities doctrine for the EU digital economy. Revue juridique Thémis de l’Université de Montréal, 53(1), 33–72.</w:t>
      </w:r>
    </w:p>
    <w:p>
      <w:pPr>
        <w:pStyle w:val="BodyText"/>
      </w:pPr>
      <w:r>
        <w:t xml:space="preserve">Graff, H. J. (1991). The literacy myth: Cultural integration and social structure in the nineteenth century. Transaction. (Original work published 1979)</w:t>
      </w:r>
    </w:p>
    <w:p>
      <w:pPr>
        <w:pStyle w:val="BodyText"/>
      </w:pPr>
      <w:r>
        <w:t xml:space="preserve">Gran, A.-B., Booth, P., &amp; Bucher, T. (2021). To be or not to be algorithm aware: A question of a new digital divide? Information, Communication &amp; Society, 24(12), 1779–1796. </w:t>
      </w:r>
      <w:hyperlink r:id="rId92">
        <w:r>
          <w:rPr>
            <w:rStyle w:val="Hyperlink"/>
          </w:rPr>
          <w:t xml:space="preserve">https://doi.org/10.1080/1369118X.2020.1736124</w:t>
        </w:r>
      </w:hyperlink>
    </w:p>
    <w:p>
      <w:pPr>
        <w:pStyle w:val="BodyText"/>
      </w:pPr>
      <w:r>
        <w:t xml:space="preserve">Gu, G. Y. (2024). Technology and disintermediation in online marketplaces. Management Science, 70(11), 7868–7891. </w:t>
      </w:r>
      <w:hyperlink r:id="rId93">
        <w:r>
          <w:rPr>
            <w:rStyle w:val="Hyperlink"/>
          </w:rPr>
          <w:t xml:space="preserve">https://doi.org/10.1287/mnsc.2021.02736</w:t>
        </w:r>
      </w:hyperlink>
    </w:p>
    <w:p>
      <w:pPr>
        <w:pStyle w:val="BodyText"/>
      </w:pPr>
      <w:r>
        <w:t xml:space="preserve">Gu, G., &amp; Zhu, F. (2021). Trust and disintermediation: Evidence from an online freelance marketplace. Management Science, 67(2), 794–807. </w:t>
      </w:r>
      <w:hyperlink r:id="rId94">
        <w:r>
          <w:rPr>
            <w:rStyle w:val="Hyperlink"/>
          </w:rPr>
          <w:t xml:space="preserve">https://doi.org/10.1287/mnsc.2020.3583</w:t>
        </w:r>
      </w:hyperlink>
    </w:p>
    <w:p>
      <w:pPr>
        <w:pStyle w:val="BodyText"/>
      </w:pPr>
      <w:r>
        <w:t xml:space="preserve">Habermas, J. (1989). The structural transformation of the public sphere: An inquiry into a category of bourgeois society (T. Burger &amp; F. Lawrence, Trans.). MIT Press. (Original work published 1962)</w:t>
      </w:r>
    </w:p>
    <w:p>
      <w:pPr>
        <w:pStyle w:val="BodyText"/>
      </w:pPr>
      <w:r>
        <w:t xml:space="preserve">Habermas, J. (1996). Between facts and norms: Contributions to a discourse theory of law and democracy (W. Rehg, Trans.). MIT Press.</w:t>
      </w:r>
    </w:p>
    <w:p>
      <w:pPr>
        <w:pStyle w:val="BodyText"/>
      </w:pPr>
      <w:r>
        <w:t xml:space="preserve">Hagiu, A., &amp; Jullien, B. (2011). Why do intermediaries divert search? RAND Journal of Economics, 42(2), 337–362. </w:t>
      </w:r>
      <w:hyperlink r:id="rId95">
        <w:r>
          <w:rPr>
            <w:rStyle w:val="Hyperlink"/>
          </w:rPr>
          <w:t xml:space="preserve">https://doi.org/10.1111/j.1756-2171.2011.00136.x</w:t>
        </w:r>
      </w:hyperlink>
    </w:p>
    <w:p>
      <w:pPr>
        <w:pStyle w:val="BodyText"/>
      </w:pPr>
      <w:r>
        <w:t xml:space="preserve">Hagiu, A., &amp; Wright, J. (2015). Marketplace or reseller? Management Science, 61(1), 184–203. </w:t>
      </w:r>
      <w:hyperlink r:id="rId96">
        <w:r>
          <w:rPr>
            <w:rStyle w:val="Hyperlink"/>
          </w:rPr>
          <w:t xml:space="preserve">https://doi.org/10.1287/mnsc.2014.2042</w:t>
        </w:r>
      </w:hyperlink>
    </w:p>
    <w:p>
      <w:pPr>
        <w:pStyle w:val="BodyText"/>
      </w:pPr>
      <w:r>
        <w:t xml:space="preserve">Hagiu, A., &amp; Wright, J. (2024). Marketplace leakage. Management Science, 70(3), 1529–1553. </w:t>
      </w:r>
      <w:hyperlink r:id="rId97">
        <w:r>
          <w:rPr>
            <w:rStyle w:val="Hyperlink"/>
          </w:rPr>
          <w:t xml:space="preserve">https://doi.org/10.1287/mnsc.2023.4757</w:t>
        </w:r>
      </w:hyperlink>
    </w:p>
    <w:p>
      <w:pPr>
        <w:pStyle w:val="BodyText"/>
      </w:pPr>
      <w:r>
        <w:t xml:space="preserve">Hagiu, A., Teh, T.-H., &amp; Wright, J. (2022). Should platforms be allowed to sell on their own marketplaces? RAND Journal of Economics, 53(2), 297–327. </w:t>
      </w:r>
      <w:hyperlink r:id="rId98">
        <w:r>
          <w:rPr>
            <w:rStyle w:val="Hyperlink"/>
          </w:rPr>
          <w:t xml:space="preserve">https://doi.org/10.1111/1756-2171.12408</w:t>
        </w:r>
      </w:hyperlink>
    </w:p>
    <w:p>
      <w:pPr>
        <w:pStyle w:val="BodyText"/>
      </w:pPr>
      <w:r>
        <w:t xml:space="preserve">Hahl, O., Kacperczyk, A., &amp; Davis, J. P. (2016). Knowledge asymmetry and brokerage: Linking network perception to position in structural holes. Strategic Organization, 14(2), 118–143. </w:t>
      </w:r>
      <w:hyperlink r:id="rId99">
        <w:r>
          <w:rPr>
            <w:rStyle w:val="Hyperlink"/>
          </w:rPr>
          <w:t xml:space="preserve">https://doi.org/10.1177/1476127015624274</w:t>
        </w:r>
      </w:hyperlink>
    </w:p>
    <w:p>
      <w:pPr>
        <w:pStyle w:val="BodyText"/>
      </w:pPr>
      <w:r>
        <w:t xml:space="preserve">Harris, W. V. (1989). Ancient literacy. Harvard University Press.</w:t>
      </w:r>
    </w:p>
    <w:p>
      <w:pPr>
        <w:pStyle w:val="BodyText"/>
      </w:pPr>
      <w:r>
        <w:t xml:space="preserve">Hartmann, E. A., Shajek, A., &amp; Schmuntzsch, U. (2025). Digital sovereignty of companies and other organizations: An introduction. In U. Schmuntzsch, A. Shajek, &amp; E. A. Hartmann (Eds.), New digital work II: Digital sovereignty of companies and organizations (pp. 1–16). Springer. </w:t>
      </w:r>
      <w:hyperlink r:id="rId100">
        <w:r>
          <w:rPr>
            <w:rStyle w:val="Hyperlink"/>
          </w:rPr>
          <w:t xml:space="preserve">https://doi.org/10.1007/978-3-031-69994-8_1</w:t>
        </w:r>
      </w:hyperlink>
    </w:p>
    <w:p>
      <w:pPr>
        <w:pStyle w:val="BodyText"/>
      </w:pPr>
      <w:r>
        <w:t xml:space="preserve">Hasan, R. (2021). Republicanism and structural domination. Pacific Philosophical Quarterly, 102(2), 292–319. </w:t>
      </w:r>
      <w:hyperlink r:id="rId101">
        <w:r>
          <w:rPr>
            <w:rStyle w:val="Hyperlink"/>
          </w:rPr>
          <w:t xml:space="preserve">https://doi.org/10.1111/papq.12337</w:t>
        </w:r>
      </w:hyperlink>
    </w:p>
    <w:p>
      <w:pPr>
        <w:pStyle w:val="BodyText"/>
      </w:pPr>
      <w:r>
        <w:t xml:space="preserve">Heidebrecht, S. (2024). From market liberalism to public intervention: Digital sovereignty and changing European Union digital single market governance. JCMS: Journal of Common Market Studies, 62(1), 205–223. </w:t>
      </w:r>
      <w:hyperlink r:id="rId102">
        <w:r>
          <w:rPr>
            <w:rStyle w:val="Hyperlink"/>
          </w:rPr>
          <w:t xml:space="preserve">https://doi.org/10.1111/jcms.13488</w:t>
        </w:r>
      </w:hyperlink>
    </w:p>
    <w:p>
      <w:pPr>
        <w:pStyle w:val="BodyText"/>
      </w:pPr>
      <w:r>
        <w:t xml:space="preserve">Heiland, H. (2025). The social construction of algorithms: A reassessment of algorithmic management in food delivery gig work. New Technology, Work and Employment, 40(1), 1–19. </w:t>
      </w:r>
      <w:hyperlink r:id="rId103">
        <w:r>
          <w:rPr>
            <w:rStyle w:val="Hyperlink"/>
          </w:rPr>
          <w:t xml:space="preserve">https://doi.org/10.1111/ntwe.12282</w:t>
        </w:r>
      </w:hyperlink>
    </w:p>
    <w:p>
      <w:pPr>
        <w:pStyle w:val="BodyText"/>
      </w:pPr>
      <w:r>
        <w:t xml:space="preserve">Hildebrandt, M. (2015). Smart technologies and the end(s) of law: Novel entanglements of law and technology. Edward Elgar Publishing. </w:t>
      </w:r>
      <w:hyperlink r:id="rId104">
        <w:r>
          <w:rPr>
            <w:rStyle w:val="Hyperlink"/>
          </w:rPr>
          <w:t xml:space="preserve">https://doi.org/10.4337/9781849808774</w:t>
        </w:r>
      </w:hyperlink>
    </w:p>
    <w:p>
      <w:pPr>
        <w:pStyle w:val="BodyText"/>
      </w:pPr>
      <w:r>
        <w:t xml:space="preserve">Hirschman, A. O. (1970). Exit, voice, and loyalty: Responses to decline in firms, organizations, and states. Harvard University Press.</w:t>
      </w:r>
    </w:p>
    <w:p>
      <w:pPr>
        <w:pStyle w:val="BodyText"/>
      </w:pPr>
      <w:r>
        <w:t xml:space="preserve">Hummel, P., Braun, M., Tretter, M., &amp; Dabrock, P. (2021). Data sovereignty: A review. Big Data &amp; Society, 8(1). </w:t>
      </w:r>
      <w:hyperlink r:id="rId105">
        <w:r>
          <w:rPr>
            <w:rStyle w:val="Hyperlink"/>
          </w:rPr>
          <w:t xml:space="preserve">https://doi.org/10.1177/2053951720982012</w:t>
        </w:r>
      </w:hyperlink>
    </w:p>
    <w:p>
      <w:pPr>
        <w:pStyle w:val="BodyText"/>
      </w:pPr>
      <w:r>
        <w:t xml:space="preserve">Hunold, M., Kesler, R., &amp; Laitenberger, U. (2020). Rankings of online travel agents, channel pricing, and consumer protection. Marketing Science, 39(1), 92–116. </w:t>
      </w:r>
      <w:hyperlink r:id="rId106">
        <w:r>
          <w:rPr>
            <w:rStyle w:val="Hyperlink"/>
          </w:rPr>
          <w:t xml:space="preserve">https://doi.org/10.1287/mksc.2019.1167</w:t>
        </w:r>
      </w:hyperlink>
    </w:p>
    <w:p>
      <w:pPr>
        <w:pStyle w:val="BodyText"/>
      </w:pPr>
      <w:r>
        <w:t xml:space="preserve">Hunold, M., Kesler, R., Laitenberger, U., &amp; Schlütter, F. (2018). Evaluation of best price clauses in online hotel bookings. International Journal of Industrial Organization, 61, 542–571. </w:t>
      </w:r>
      <w:hyperlink r:id="rId107">
        <w:r>
          <w:rPr>
            <w:rStyle w:val="Hyperlink"/>
          </w:rPr>
          <w:t xml:space="preserve">https://doi.org/10.1016/j.ijindorg.2018.03.008</w:t>
        </w:r>
      </w:hyperlink>
    </w:p>
    <w:p>
      <w:pPr>
        <w:pStyle w:val="BodyText"/>
      </w:pPr>
      <w:r>
        <w:t xml:space="preserve">Innis, H. A. (1951). The bias of communication. University of Toronto Press.</w:t>
      </w:r>
    </w:p>
    <w:p>
      <w:pPr>
        <w:pStyle w:val="BodyText"/>
      </w:pPr>
      <w:r>
        <w:t xml:space="preserve">Jacobides, M. G., Cennamo, C., &amp; Gawer, A. (2018). Towards a theory of ecosystems. Strategic Management Journal, 39(8), 2255–2276. </w:t>
      </w:r>
      <w:hyperlink r:id="rId108">
        <w:r>
          <w:rPr>
            <w:rStyle w:val="Hyperlink"/>
          </w:rPr>
          <w:t xml:space="preserve">https://doi.org/10.1002/smj.2904</w:t>
        </w:r>
      </w:hyperlink>
    </w:p>
    <w:p>
      <w:pPr>
        <w:pStyle w:val="BodyText"/>
      </w:pPr>
      <w:r>
        <w:t xml:space="preserve">Jarrahi, M. H., &amp; Sutherland, W. (2019). Algorithmic management and algorithmic competencies: Understanding and appropriating algorithms in gig work. In Information in contemporary society: iConference 2019 (Lecture Notes in Computer Science, Vol. 11420, pp. 578–589). Springer, Cham. </w:t>
      </w:r>
      <w:hyperlink r:id="rId109">
        <w:r>
          <w:rPr>
            <w:rStyle w:val="Hyperlink"/>
          </w:rPr>
          <w:t xml:space="preserve">https://doi.org/10.1007/978-3-030-15742-5_55</w:t>
        </w:r>
      </w:hyperlink>
    </w:p>
    <w:p>
      <w:pPr>
        <w:pStyle w:val="BodyText"/>
      </w:pPr>
      <w:r>
        <w:t xml:space="preserve">Johnston, H., &amp; Land-Kazlauskas, C. (2018). Organizing on-demand: Representation, voice, and collective bargaining in the gig economy (Conditions of Work and Employment Series No. 94). International Labour Office.</w:t>
      </w:r>
    </w:p>
    <w:p>
      <w:pPr>
        <w:pStyle w:val="BodyText"/>
      </w:pPr>
      <w:r>
        <w:t xml:space="preserve">Kaminski, M. E., &amp; Urban, J. M. (2021). The right to contest AI. Columbia Law Review, 121(7), 1957–2048. </w:t>
      </w:r>
      <w:hyperlink r:id="rId110">
        <w:r>
          <w:rPr>
            <w:rStyle w:val="Hyperlink"/>
          </w:rPr>
          <w:t xml:space="preserve">https://columbialawreview.org/content/the-right-to-contest-ai/</w:t>
        </w:r>
      </w:hyperlink>
    </w:p>
    <w:p>
      <w:pPr>
        <w:pStyle w:val="BodyText"/>
      </w:pPr>
      <w:r>
        <w:t xml:space="preserve">Kellogg, K. C., Valentine, M. A., &amp; Christin, A. (2020). Algorithms at work: The new contested terrain of control. Academy of Management Annals, 14(1), 366–410. </w:t>
      </w:r>
      <w:hyperlink r:id="rId111">
        <w:r>
          <w:rPr>
            <w:rStyle w:val="Hyperlink"/>
          </w:rPr>
          <w:t xml:space="preserve">https://doi.org/10.5465/annals.2018.0174</w:t>
        </w:r>
      </w:hyperlink>
    </w:p>
    <w:p>
      <w:pPr>
        <w:pStyle w:val="BodyText"/>
      </w:pPr>
      <w:r>
        <w:t xml:space="preserve">Kenney, M., Bearson, D., &amp; Zysman, J. (2021). The platform economy matures: Measuring pervasiveness and exploring power. Socio-Economic Review, 19(4), 1451–1483. </w:t>
      </w:r>
      <w:hyperlink r:id="rId112">
        <w:r>
          <w:rPr>
            <w:rStyle w:val="Hyperlink"/>
          </w:rPr>
          <w:t xml:space="preserve">https://doi.org/10.1093/ser/mwab014</w:t>
        </w:r>
      </w:hyperlink>
    </w:p>
    <w:p>
      <w:pPr>
        <w:pStyle w:val="BodyText"/>
      </w:pPr>
      <w:r>
        <w:t xml:space="preserve">Khan, L. M. (2017). Amazon’s antitrust paradox. Yale Law Journal, 126(3), 710–805. </w:t>
      </w:r>
      <w:hyperlink r:id="rId113">
        <w:r>
          <w:rPr>
            <w:rStyle w:val="Hyperlink"/>
          </w:rPr>
          <w:t xml:space="preserve">https://www.yalelawjournal.org/note/amazons-antitrust-paradox</w:t>
        </w:r>
      </w:hyperlink>
    </w:p>
    <w:p>
      <w:pPr>
        <w:pStyle w:val="BodyText"/>
      </w:pPr>
      <w:r>
        <w:t xml:space="preserve">Kirchner, S., &amp; Schüßler, E. (2019). The organization of digital marketplaces: Unmasking the role of Internet platforms in the sharing economy. In G. Ahrne &amp; N. Brunsson (Eds.), Organization outside organizations: The abundance of partial organization in social life (pp. 131–154). Cambridge University Press. </w:t>
      </w:r>
      <w:hyperlink r:id="rId114">
        <w:r>
          <w:rPr>
            <w:rStyle w:val="Hyperlink"/>
          </w:rPr>
          <w:t xml:space="preserve">https://doi.org/10.1017/9781108604994.006</w:t>
        </w:r>
      </w:hyperlink>
    </w:p>
    <w:p>
      <w:pPr>
        <w:pStyle w:val="BodyText"/>
      </w:pPr>
      <w:r>
        <w:t xml:space="preserve">Klawitter, E., &amp; Hargittai, E. (2018).</w:t>
      </w:r>
      <w:r>
        <w:t xml:space="preserve"> </w:t>
      </w:r>
      <w:r>
        <w:t xml:space="preserve">“It’s like learning a whole other language”</w:t>
      </w:r>
      <w:r>
        <w:t xml:space="preserve">: The role of algorithmic skills in the curation of creative goods. International Journal of Communication, 12, 3490–3510. </w:t>
      </w:r>
      <w:hyperlink r:id="rId115">
        <w:r>
          <w:rPr>
            <w:rStyle w:val="Hyperlink"/>
          </w:rPr>
          <w:t xml:space="preserve">https://ijoc.org/index.php/ijoc/article/view/7864</w:t>
        </w:r>
      </w:hyperlink>
    </w:p>
    <w:p>
      <w:pPr>
        <w:pStyle w:val="BodyText"/>
      </w:pPr>
      <w:r>
        <w:t xml:space="preserve">Klonick, K. (2020). The Facebook Oversight Board: Creating an independent institution to adjudicate online free expression. Yale Law Journal, 129(8), 2418–2499.</w:t>
      </w:r>
    </w:p>
    <w:p>
      <w:pPr>
        <w:pStyle w:val="BodyText"/>
      </w:pPr>
      <w:r>
        <w:t xml:space="preserve">Koo, W. W., &amp; Eesley, C. E. (2021). Platform governance and the rural–urban divide: Sellers’ responses to design change. Strategic Management Journal, 42(5), 941–967. </w:t>
      </w:r>
      <w:hyperlink r:id="rId116">
        <w:r>
          <w:rPr>
            <w:rStyle w:val="Hyperlink"/>
          </w:rPr>
          <w:t xml:space="preserve">https://doi.org/10.1002/smj.3259</w:t>
        </w:r>
      </w:hyperlink>
    </w:p>
    <w:p>
      <w:pPr>
        <w:pStyle w:val="BodyText"/>
      </w:pPr>
      <w:r>
        <w:t xml:space="preserve">Kornberger, M., Pflueger, D., &amp; Mouritsen, J. (2017). Evaluative infrastructures: Accounting for platform organization. Accounting, Organizations and Society, 60, 79–95. </w:t>
      </w:r>
      <w:hyperlink r:id="rId117">
        <w:r>
          <w:rPr>
            <w:rStyle w:val="Hyperlink"/>
          </w:rPr>
          <w:t xml:space="preserve">https://doi.org/10.1016/j.aos.2017.05.002</w:t>
        </w:r>
      </w:hyperlink>
    </w:p>
    <w:p>
      <w:pPr>
        <w:pStyle w:val="BodyText"/>
      </w:pPr>
      <w:r>
        <w:t xml:space="preserve">Kretschmer, T., Leiponen, A., Schilling, M., &amp; Vasudeva, G. (2022). Platform ecosystems as meta-organizations: Implications for platform strategies. Strategic Management Journal, 43(3), 405–424. </w:t>
      </w:r>
      <w:hyperlink r:id="rId118">
        <w:r>
          <w:rPr>
            <w:rStyle w:val="Hyperlink"/>
          </w:rPr>
          <w:t xml:space="preserve">https://doi.org/10.1002/smj.3250</w:t>
        </w:r>
      </w:hyperlink>
    </w:p>
    <w:p>
      <w:pPr>
        <w:pStyle w:val="BodyText"/>
      </w:pPr>
      <w:r>
        <w:t xml:space="preserve">Kude, T., &amp; Huber, T. L. (2025). Responding to platform owner moves: A 14-year qualitative study of four enterprise software complementors. Information Systems Journal, 35(1), 209–246. </w:t>
      </w:r>
      <w:hyperlink r:id="rId119">
        <w:r>
          <w:rPr>
            <w:rStyle w:val="Hyperlink"/>
          </w:rPr>
          <w:t xml:space="preserve">https://doi.org/10.1111/isj.12527</w:t>
        </w:r>
      </w:hyperlink>
    </w:p>
    <w:p>
      <w:pPr>
        <w:pStyle w:val="BodyText"/>
      </w:pPr>
      <w:r>
        <w:t xml:space="preserve">Lafontaine, F., &amp; Scott Morton, F. (2010). Markets: State franchise laws, dealer terminations, and the auto crisis. Journal of Economic Perspectives, 24(3), 233–250. </w:t>
      </w:r>
      <w:hyperlink r:id="rId120">
        <w:r>
          <w:rPr>
            <w:rStyle w:val="Hyperlink"/>
          </w:rPr>
          <w:t xml:space="preserve">https://doi.org/10.1257/jep.24.3.233</w:t>
        </w:r>
      </w:hyperlink>
    </w:p>
    <w:p>
      <w:pPr>
        <w:pStyle w:val="BodyText"/>
      </w:pPr>
      <w:r>
        <w:t xml:space="preserve">Lazar, S. (2025). Governing the algorithmic city. Philosophy &amp; Public Affairs, 53(2), 102–168. </w:t>
      </w:r>
      <w:hyperlink r:id="rId121">
        <w:r>
          <w:rPr>
            <w:rStyle w:val="Hyperlink"/>
          </w:rPr>
          <w:t xml:space="preserve">https://doi.org/10.1111/papa.12279</w:t>
        </w:r>
      </w:hyperlink>
    </w:p>
    <w:p>
      <w:pPr>
        <w:pStyle w:val="BodyText"/>
      </w:pPr>
      <w:r>
        <w:t xml:space="preserve">Leerssen, P. (2023). An end to shadow banning? Transparency rights in the Digital Services Act between content moderation and curation. Computer Law &amp; Security Review, 48, Article 105790. </w:t>
      </w:r>
      <w:hyperlink r:id="rId122">
        <w:r>
          <w:rPr>
            <w:rStyle w:val="Hyperlink"/>
          </w:rPr>
          <w:t xml:space="preserve">https://doi.org/10.1016/j.clsr.2023.105790</w:t>
        </w:r>
      </w:hyperlink>
    </w:p>
    <w:p>
      <w:pPr>
        <w:pStyle w:val="BodyText"/>
      </w:pPr>
      <w:r>
        <w:t xml:space="preserve">Lei, Y.-W. (2021). Delivering solidarity: Platform architecture and collective contention in China’s platform economy. American Sociological Review, 86(2), 279–309. </w:t>
      </w:r>
      <w:hyperlink r:id="rId123">
        <w:r>
          <w:rPr>
            <w:rStyle w:val="Hyperlink"/>
          </w:rPr>
          <w:t xml:space="preserve">https://doi.org/10.1177/0003122420979980</w:t>
        </w:r>
      </w:hyperlink>
    </w:p>
    <w:p>
      <w:pPr>
        <w:pStyle w:val="BodyText"/>
      </w:pPr>
      <w:r>
        <w:t xml:space="preserve">Li, L., Tadelis, S., &amp; Zhou, X. (2020). Buying reputation as a signal of quality: Evidence from an online marketplace. RAND Journal of Economics, 51(4), 965–988. </w:t>
      </w:r>
      <w:hyperlink r:id="rId124">
        <w:r>
          <w:rPr>
            <w:rStyle w:val="Hyperlink"/>
          </w:rPr>
          <w:t xml:space="preserve">https://doi.org/10.1111/1756-2171.12346</w:t>
        </w:r>
      </w:hyperlink>
    </w:p>
    <w:p>
      <w:pPr>
        <w:pStyle w:val="BodyText"/>
      </w:pPr>
      <w:r>
        <w:t xml:space="preserve">Li, M., &amp; Choi, T. Y. (2009). Triads in services outsourcing: Bridge, bridge decay and bridge transfer. Journal of Supply Chain Management, 45(3), 27–39. </w:t>
      </w:r>
      <w:hyperlink r:id="rId125">
        <w:r>
          <w:rPr>
            <w:rStyle w:val="Hyperlink"/>
          </w:rPr>
          <w:t xml:space="preserve">https://doi.org/10.1111/j.1745-493X.2009.03169.x</w:t>
        </w:r>
      </w:hyperlink>
    </w:p>
    <w:p>
      <w:pPr>
        <w:pStyle w:val="BodyText"/>
      </w:pPr>
      <w:r>
        <w:t xml:space="preserve">Loh, J., &amp; Elsas-Nicolle, A. (2026). Platform competition and strategic trade-offs for complementors: Heterogeneous reactions to the entry of a new platform. Strategic Management Journal, 47(6), 1671–1729. </w:t>
      </w:r>
      <w:hyperlink r:id="rId126">
        <w:r>
          <w:rPr>
            <w:rStyle w:val="Hyperlink"/>
          </w:rPr>
          <w:t xml:space="preserve">https://doi.org/10.1002/smj.70062</w:t>
        </w:r>
      </w:hyperlink>
    </w:p>
    <w:p>
      <w:pPr>
        <w:pStyle w:val="BodyText"/>
      </w:pPr>
      <w:r>
        <w:t xml:space="preserve">MacDonald, T. W. L. (2023). How it actually works: Algorithmic lore videos as market devices. New Media &amp; Society, 25(6), 1412–1431. </w:t>
      </w:r>
      <w:hyperlink r:id="rId127">
        <w:r>
          <w:rPr>
            <w:rStyle w:val="Hyperlink"/>
          </w:rPr>
          <w:t xml:space="preserve">https://doi.org/10.1177/14614448211021404</w:t>
        </w:r>
      </w:hyperlink>
    </w:p>
    <w:p>
      <w:pPr>
        <w:pStyle w:val="BodyText"/>
      </w:pPr>
      <w:r>
        <w:t xml:space="preserve">Mackenzie, C., &amp; Stoljar, N. (Eds.). (2000). Relational autonomy: Feminist perspectives on autonomy, agency, and the social self. Oxford University Press.</w:t>
      </w:r>
    </w:p>
    <w:p>
      <w:pPr>
        <w:pStyle w:val="BodyText"/>
      </w:pPr>
      <w:r>
        <w:t xml:space="preserve">Mannan, M., &amp; Pek, S. (2024). Platform cooperatives and the dilemmas of platform worker-member participation. New Technology, Work and Employment, 39(2), 219–237. </w:t>
      </w:r>
      <w:hyperlink r:id="rId128">
        <w:r>
          <w:rPr>
            <w:rStyle w:val="Hyperlink"/>
          </w:rPr>
          <w:t xml:space="preserve">https://doi.org/10.1111/ntwe.12273</w:t>
        </w:r>
      </w:hyperlink>
    </w:p>
    <w:p>
      <w:pPr>
        <w:pStyle w:val="BodyText"/>
      </w:pPr>
      <w:r>
        <w:t xml:space="preserve">Mantovani, A., Piga, C. A., &amp; Reggiani, C. (2021). Online platform price parity clauses: Evidence from the EU</w:t>
      </w:r>
      <w:r>
        <w:t xml:space="preserve"> </w:t>
      </w:r>
      <w:hyperlink r:id="rId15">
        <w:r>
          <w:rPr>
            <w:rStyle w:val="Hyperlink"/>
          </w:rPr>
          <w:t xml:space="preserve">Booking.com</w:t>
        </w:r>
      </w:hyperlink>
      <w:r>
        <w:t xml:space="preserve"> </w:t>
      </w:r>
      <w:r>
        <w:t xml:space="preserve">case. European Economic Review, 131, Article 103625. </w:t>
      </w:r>
      <w:hyperlink r:id="rId129">
        <w:r>
          <w:rPr>
            <w:rStyle w:val="Hyperlink"/>
          </w:rPr>
          <w:t xml:space="preserve">https://doi.org/10.1016/j.euroecorev.2020.103625</w:t>
        </w:r>
      </w:hyperlink>
    </w:p>
    <w:p>
      <w:pPr>
        <w:pStyle w:val="BodyText"/>
      </w:pPr>
      <w:r>
        <w:t xml:space="preserve">Markell, P. (2008). The insufficiency of non-domination. Political Theory, 36(1), 9–36. </w:t>
      </w:r>
      <w:hyperlink r:id="rId130">
        <w:r>
          <w:rPr>
            <w:rStyle w:val="Hyperlink"/>
          </w:rPr>
          <w:t xml:space="preserve">https://doi.org/10.1177/0090591707310084</w:t>
        </w:r>
      </w:hyperlink>
    </w:p>
    <w:p>
      <w:pPr>
        <w:pStyle w:val="BodyText"/>
      </w:pPr>
      <w:r>
        <w:t xml:space="preserve">Micheli, M., Ponti, M., Craglia, M., &amp; Berti Suman, A. (2020). Emerging models of data governance in the age of datafication. Big Data &amp; Society, 7(2). </w:t>
      </w:r>
      <w:hyperlink r:id="rId131">
        <w:r>
          <w:rPr>
            <w:rStyle w:val="Hyperlink"/>
          </w:rPr>
          <w:t xml:space="preserve">https://doi.org/10.1177/2053951720948087</w:t>
        </w:r>
      </w:hyperlink>
    </w:p>
    <w:p>
      <w:pPr>
        <w:pStyle w:val="BodyText"/>
      </w:pPr>
      <w:r>
        <w:t xml:space="preserve">Möhlmann, M., Zalmanson, L., Henfridsson, O., &amp; Gregory, R. W. (2021). Algorithmic management of work on online labor platforms: When matching meets control. MIS Quarterly, 45(4), 1999–2022. </w:t>
      </w:r>
      <w:hyperlink r:id="rId132">
        <w:r>
          <w:rPr>
            <w:rStyle w:val="Hyperlink"/>
          </w:rPr>
          <w:t xml:space="preserve">https://doi.org/10.25300/MISQ/2021/15333</w:t>
        </w:r>
      </w:hyperlink>
    </w:p>
    <w:p>
      <w:pPr>
        <w:pStyle w:val="BodyText"/>
      </w:pPr>
      <w:r>
        <w:t xml:space="preserve">Möhlmann, M., Alves de Lima Salge, C., &amp; Marabelli, M. (2023). Algorithm sensemaking: How platform workers make sense of algorithmic management. Journal of the Association for Information Systems, 24(1), 35–64. </w:t>
      </w:r>
      <w:hyperlink r:id="rId133">
        <w:r>
          <w:rPr>
            <w:rStyle w:val="Hyperlink"/>
          </w:rPr>
          <w:t xml:space="preserve">https://doi.org/10.17705/1jais.00774</w:t>
        </w:r>
      </w:hyperlink>
    </w:p>
    <w:p>
      <w:pPr>
        <w:pStyle w:val="BodyText"/>
      </w:pPr>
      <w:r>
        <w:t xml:space="preserve">Moschko, L., Blazevic, V., &amp; Piller, F. T. (2025). Managing data sovereignty: An organizational competence for successful open value creation. R&amp;D Management, 55(4), 1124–1137. </w:t>
      </w:r>
      <w:hyperlink r:id="rId134">
        <w:r>
          <w:rPr>
            <w:rStyle w:val="Hyperlink"/>
          </w:rPr>
          <w:t xml:space="preserve">https://doi.org/10.1111/radm.12740</w:t>
        </w:r>
      </w:hyperlink>
    </w:p>
    <w:p>
      <w:pPr>
        <w:pStyle w:val="BodyText"/>
      </w:pPr>
      <w:r>
        <w:t xml:space="preserve">Muldoon, J., &amp; Raekstad, P. (2023). Algorithmic domination in the gig economy. European Journal of Political Theory, 22(4), 587–607. </w:t>
      </w:r>
      <w:hyperlink r:id="rId135">
        <w:r>
          <w:rPr>
            <w:rStyle w:val="Hyperlink"/>
          </w:rPr>
          <w:t xml:space="preserve">https://doi.org/10.1177/14748851221082078</w:t>
        </w:r>
      </w:hyperlink>
    </w:p>
    <w:p>
      <w:pPr>
        <w:pStyle w:val="BodyText"/>
      </w:pPr>
      <w:r>
        <w:t xml:space="preserve">Nambisan, S., Siegel, D., &amp; Kenney, M. (2018). On open innovation, platforms, and entrepreneurship. Strategic Entrepreneurship Journal, 12(3), 354–368. </w:t>
      </w:r>
      <w:hyperlink r:id="rId136">
        <w:r>
          <w:rPr>
            <w:rStyle w:val="Hyperlink"/>
          </w:rPr>
          <w:t xml:space="preserve">https://doi.org/10.1002/sej.1300</w:t>
        </w:r>
      </w:hyperlink>
    </w:p>
    <w:p>
      <w:pPr>
        <w:pStyle w:val="BodyText"/>
      </w:pPr>
      <w:r>
        <w:t xml:space="preserve">Nanni, R., Bizzaro, P. G., &amp; Napolitano, M. (2024). The false promise of individual digital sovereignty in Europe: Comparing artificial intelligence and data regulations in China and the European Union. Policy &amp; Internet, 16(4), 711–726. </w:t>
      </w:r>
      <w:hyperlink r:id="rId137">
        <w:r>
          <w:rPr>
            <w:rStyle w:val="Hyperlink"/>
          </w:rPr>
          <w:t xml:space="preserve">https://doi.org/10.1002/poi3.424</w:t>
        </w:r>
      </w:hyperlink>
    </w:p>
    <w:p>
      <w:pPr>
        <w:pStyle w:val="BodyText"/>
      </w:pPr>
      <w:r>
        <w:t xml:space="preserve">Nedelsky, J. (2011). Law’s relations: A relational theory of self, autonomy, and law. Oxford University Press. </w:t>
      </w:r>
      <w:hyperlink r:id="rId138">
        <w:r>
          <w:rPr>
            <w:rStyle w:val="Hyperlink"/>
          </w:rPr>
          <w:t xml:space="preserve">https://doi.org/10.1093/acprof:oso/9780195147964.001.0001</w:t>
        </w:r>
      </w:hyperlink>
    </w:p>
    <w:p>
      <w:pPr>
        <w:pStyle w:val="BodyText"/>
      </w:pPr>
      <w:r>
        <w:t xml:space="preserve">Nolteernsting, K. (2025). The European regulatory framework of ranking transparency on platform markets – P2B + P2C = P2U. IIC – International Review of Intellectual Property and Competition Law, 56(7), 1359–1391. </w:t>
      </w:r>
      <w:hyperlink r:id="rId139">
        <w:r>
          <w:rPr>
            <w:rStyle w:val="Hyperlink"/>
          </w:rPr>
          <w:t xml:space="preserve">https://doi.org/10.1007/s40319-025-01625-1</w:t>
        </w:r>
      </w:hyperlink>
    </w:p>
    <w:p>
      <w:pPr>
        <w:pStyle w:val="BodyText"/>
      </w:pPr>
      <w:r>
        <w:t xml:space="preserve">Nussbaum, M. C. (2006). Education and democratic citizenship: Capabilities and quality education. Journal of Human Development, 7(3), 385–395. </w:t>
      </w:r>
      <w:hyperlink r:id="rId140">
        <w:r>
          <w:rPr>
            <w:rStyle w:val="Hyperlink"/>
          </w:rPr>
          <w:t xml:space="preserve">https://doi.org/10.1080/14649880600815974</w:t>
        </w:r>
      </w:hyperlink>
    </w:p>
    <w:p>
      <w:pPr>
        <w:pStyle w:val="BodyText"/>
      </w:pPr>
      <w:r>
        <w:t xml:space="preserve">O’Connor, P., Assaker, G., &amp; El Haddad, R. (2025). Online travel agency participation: An empirical investigation of its financial contribution to U.S. hotel profitability. Cornell Hospitality Quarterly, 66(4), 527–538. </w:t>
      </w:r>
      <w:hyperlink r:id="rId141">
        <w:r>
          <w:rPr>
            <w:rStyle w:val="Hyperlink"/>
          </w:rPr>
          <w:t xml:space="preserve">https://doi.org/10.1177/19389655251318185</w:t>
        </w:r>
      </w:hyperlink>
    </w:p>
    <w:p>
      <w:pPr>
        <w:pStyle w:val="BodyText"/>
      </w:pPr>
      <w:r>
        <w:t xml:space="preserve">O’Reilly, T., Strauss, I., &amp; Mazzucato, M. (2024). Algorithmic attention rents: A theory of digital platform market power. Data &amp; Policy, 6, Article e6. </w:t>
      </w:r>
      <w:hyperlink r:id="rId142">
        <w:r>
          <w:rPr>
            <w:rStyle w:val="Hyperlink"/>
          </w:rPr>
          <w:t xml:space="preserve">https://doi.org/10.1017/dap.2024.1</w:t>
        </w:r>
      </w:hyperlink>
    </w:p>
    <w:p>
      <w:pPr>
        <w:pStyle w:val="BodyText"/>
      </w:pPr>
      <w:r>
        <w:t xml:space="preserve">Obstfeld, D. (2005). Social networks, the tertius iungens orientation, and involvement in innovation. Administrative Science Quarterly, 50(1), 100–130. </w:t>
      </w:r>
      <w:hyperlink r:id="rId143">
        <w:r>
          <w:rPr>
            <w:rStyle w:val="Hyperlink"/>
          </w:rPr>
          <w:t xml:space="preserve">https://doi.org/10.2189/asqu.2005.50.1.100</w:t>
        </w:r>
      </w:hyperlink>
    </w:p>
    <w:p>
      <w:pPr>
        <w:pStyle w:val="BodyText"/>
      </w:pPr>
      <w:r>
        <w:t xml:space="preserve">Oeldorf-Hirsch, A., &amp; Neubaum, G. (2025). What do we know about algorithmic literacy? The status quo and a research agenda for a growing field. New Media &amp; Society, 27(2), 681–701. </w:t>
      </w:r>
      <w:hyperlink r:id="rId144">
        <w:r>
          <w:rPr>
            <w:rStyle w:val="Hyperlink"/>
          </w:rPr>
          <w:t xml:space="preserve">https://doi.org/10.1177/14614448231182662</w:t>
        </w:r>
      </w:hyperlink>
    </w:p>
    <w:p>
      <w:pPr>
        <w:pStyle w:val="BodyText"/>
      </w:pPr>
      <w:r>
        <w:t xml:space="preserve">Ostrom, E. (1990). Governing the commons: The evolution of institutions for collective action. Cambridge University Press. </w:t>
      </w:r>
      <w:hyperlink r:id="rId145">
        <w:r>
          <w:rPr>
            <w:rStyle w:val="Hyperlink"/>
          </w:rPr>
          <w:t xml:space="preserve">https://doi.org/10.1017/CBO9780511807763</w:t>
        </w:r>
      </w:hyperlink>
    </w:p>
    <w:p>
      <w:pPr>
        <w:pStyle w:val="BodyText"/>
      </w:pPr>
      <w:r>
        <w:t xml:space="preserve">Paglayan, A. S. (2022). Education or indoctrination? The violent origins of public school systems in an era of state-building. American Political Science Review, 116(4), 1242–1257. </w:t>
      </w:r>
      <w:hyperlink r:id="rId146">
        <w:r>
          <w:rPr>
            <w:rStyle w:val="Hyperlink"/>
          </w:rPr>
          <w:t xml:space="preserve">https://doi.org/10.1017/S0003055422000247</w:t>
        </w:r>
      </w:hyperlink>
    </w:p>
    <w:p>
      <w:pPr>
        <w:pStyle w:val="BodyText"/>
      </w:pPr>
      <w:r>
        <w:t xml:space="preserve">Paglayan, A. S. (2024). Raised to obey: The rise and spread of mass education. Princeton University Press. </w:t>
      </w:r>
      <w:hyperlink r:id="rId147">
        <w:r>
          <w:rPr>
            <w:rStyle w:val="Hyperlink"/>
          </w:rPr>
          <w:t xml:space="preserve">https://doi.org/10.1515/9780691261775</w:t>
        </w:r>
      </w:hyperlink>
    </w:p>
    <w:p>
      <w:pPr>
        <w:pStyle w:val="BodyText"/>
      </w:pPr>
      <w:r>
        <w:t xml:space="preserve">Pangrazio, L., &amp; Selwyn, N. (2019). Personal data literacies: A critical literacies approach to enhancing understandings of personal digital data. New Media &amp; Society, 21(2), 419–437. </w:t>
      </w:r>
      <w:hyperlink r:id="rId148">
        <w:r>
          <w:rPr>
            <w:rStyle w:val="Hyperlink"/>
          </w:rPr>
          <w:t xml:space="preserve">https://doi.org/10.1177/1461444818799523</w:t>
        </w:r>
      </w:hyperlink>
    </w:p>
    <w:p>
      <w:pPr>
        <w:pStyle w:val="BodyText"/>
      </w:pPr>
      <w:r>
        <w:t xml:space="preserve">Pantazi, T. (2026). The scope and the limits of the parity clause prohibition in the Digital Markets Act. European Competition Journal, 22(1), 247–263. </w:t>
      </w:r>
      <w:hyperlink r:id="rId149">
        <w:r>
          <w:rPr>
            <w:rStyle w:val="Hyperlink"/>
          </w:rPr>
          <w:t xml:space="preserve">https://doi.org/10.1080/17441056.2025.2511420</w:t>
        </w:r>
      </w:hyperlink>
    </w:p>
    <w:p>
      <w:pPr>
        <w:pStyle w:val="BodyText"/>
      </w:pPr>
      <w:r>
        <w:t xml:space="preserve">Parmigiani, A. (2007). Why do firms both make and buy? An investigation of concurrent sourcing. Strategic Management Journal, 28(3), 285–311. </w:t>
      </w:r>
      <w:hyperlink r:id="rId150">
        <w:r>
          <w:rPr>
            <w:rStyle w:val="Hyperlink"/>
          </w:rPr>
          <w:t xml:space="preserve">https://doi.org/10.1002/smj.580</w:t>
        </w:r>
      </w:hyperlink>
    </w:p>
    <w:p>
      <w:pPr>
        <w:pStyle w:val="BodyText"/>
      </w:pPr>
      <w:r>
        <w:t xml:space="preserve">Pasquale, F. (2023). Two visions for data governance: Territorial vs. functional sovereignty. In A. Chander &amp; H. Sun (Eds.), Data sovereignty: From the digital silk road to the return of the state (pp. 35–48). Oxford University Press. </w:t>
      </w:r>
      <w:hyperlink r:id="rId151">
        <w:r>
          <w:rPr>
            <w:rStyle w:val="Hyperlink"/>
          </w:rPr>
          <w:t xml:space="preserve">https://doi.org/10.1093/oso/9780197582794.003.0002</w:t>
        </w:r>
      </w:hyperlink>
    </w:p>
    <w:p>
      <w:pPr>
        <w:pStyle w:val="BodyText"/>
      </w:pPr>
      <w:r>
        <w:t xml:space="preserve">Paul, S. (2020). Antitrust as allocator of coordination rights. UCLA Law Review, 67(2), 378–431. </w:t>
      </w:r>
      <w:hyperlink r:id="rId152">
        <w:r>
          <w:rPr>
            <w:rStyle w:val="Hyperlink"/>
          </w:rPr>
          <w:t xml:space="preserve">https://www.uclalawreview.org/antitrust-as-allocator-of-coordination-rights/</w:t>
        </w:r>
      </w:hyperlink>
    </w:p>
    <w:p>
      <w:pPr>
        <w:pStyle w:val="BodyText"/>
      </w:pPr>
      <w:r>
        <w:t xml:space="preserve">Petre, C., Duffy, B. E., &amp; Hund, E. (2019). Gaming the system: Platform paternalism and the politics of algorithmic visibility. Social Media + Society, 5(4). </w:t>
      </w:r>
      <w:hyperlink r:id="rId153">
        <w:r>
          <w:rPr>
            <w:rStyle w:val="Hyperlink"/>
          </w:rPr>
          <w:t xml:space="preserve">https://doi.org/10.1177/2056305119879995</w:t>
        </w:r>
      </w:hyperlink>
    </w:p>
    <w:p>
      <w:pPr>
        <w:pStyle w:val="BodyText"/>
      </w:pPr>
      <w:r>
        <w:t xml:space="preserve">Pettit, P. (1997). Republicanism: A theory of freedom and government. Oxford University Press.</w:t>
      </w:r>
    </w:p>
    <w:p>
      <w:pPr>
        <w:pStyle w:val="BodyText"/>
      </w:pPr>
      <w:r>
        <w:t xml:space="preserve">Pettit, P. (2012). On the people’s terms: A republican theory and model of democracy. Cambridge University Press. </w:t>
      </w:r>
      <w:hyperlink r:id="rId154">
        <w:r>
          <w:rPr>
            <w:rStyle w:val="Hyperlink"/>
          </w:rPr>
          <w:t xml:space="preserve">https://doi.org/10.1017/CBO9781139017428</w:t>
        </w:r>
      </w:hyperlink>
    </w:p>
    <w:p>
      <w:pPr>
        <w:pStyle w:val="BodyText"/>
      </w:pPr>
      <w:r>
        <w:t xml:space="preserve">Pettit, P. (2016). The globalized republican ideal. Global Justice: Theory Practice Rhetoric, 9(1), 47–68. </w:t>
      </w:r>
      <w:hyperlink r:id="rId155">
        <w:r>
          <w:rPr>
            <w:rStyle w:val="Hyperlink"/>
          </w:rPr>
          <w:t xml:space="preserve">https://doi.org/10.21248/gjn.9.1.101</w:t>
        </w:r>
      </w:hyperlink>
    </w:p>
    <w:p>
      <w:pPr>
        <w:pStyle w:val="BodyText"/>
      </w:pPr>
      <w:r>
        <w:t xml:space="preserve">Pohle, J., &amp; Thiel, T. (2020). Digital sovereignty. Internet Policy Review, 9(4). </w:t>
      </w:r>
      <w:hyperlink r:id="rId156">
        <w:r>
          <w:rPr>
            <w:rStyle w:val="Hyperlink"/>
          </w:rPr>
          <w:t xml:space="preserve">https://doi.org/10.14763/2020.4.1532</w:t>
        </w:r>
      </w:hyperlink>
    </w:p>
    <w:p>
      <w:pPr>
        <w:pStyle w:val="BodyText"/>
      </w:pPr>
      <w:r>
        <w:t xml:space="preserve">Pohle, J., Nanni, R., &amp; Santaniello, M. (2025). Unthinking digital sovereignty: A critical reflection on origins, objectives, and practices. Policy &amp; Internet, 16(4), 666–671. </w:t>
      </w:r>
      <w:hyperlink r:id="rId157">
        <w:r>
          <w:rPr>
            <w:rStyle w:val="Hyperlink"/>
          </w:rPr>
          <w:t xml:space="preserve">https://doi.org/10.1002/poi3.437</w:t>
        </w:r>
      </w:hyperlink>
    </w:p>
    <w:p>
      <w:pPr>
        <w:pStyle w:val="BodyText"/>
      </w:pPr>
      <w:r>
        <w:t xml:space="preserve">Powell, W. W. (1990). Neither market nor hierarchy: Network forms of organization. Research in Organizational Behavior, 12, 295–336.</w:t>
      </w:r>
    </w:p>
    <w:p>
      <w:pPr>
        <w:pStyle w:val="BodyText"/>
      </w:pPr>
      <w:r>
        <w:t xml:space="preserve">Rahman, H. A. (2021). The invisible cage: Workers’ reactivity to opaque algorithmic evaluations. Administrative Science Quarterly, 66(4), 945–988. </w:t>
      </w:r>
      <w:hyperlink r:id="rId158">
        <w:r>
          <w:rPr>
            <w:rStyle w:val="Hyperlink"/>
          </w:rPr>
          <w:t xml:space="preserve">https://doi.org/10.1177/00018392211010118</w:t>
        </w:r>
      </w:hyperlink>
    </w:p>
    <w:p>
      <w:pPr>
        <w:pStyle w:val="BodyText"/>
      </w:pPr>
      <w:r>
        <w:t xml:space="preserve">Rahman, H. A., Karunakaran, A., &amp; Cameron, L. D. (2024). Taming platform power: Taking accountability into account in the management of platforms. Academy of Management Annals, 18(1), 251–294. </w:t>
      </w:r>
      <w:hyperlink r:id="rId159">
        <w:r>
          <w:rPr>
            <w:rStyle w:val="Hyperlink"/>
          </w:rPr>
          <w:t xml:space="preserve">https://doi.org/10.5465/annals.2022.0090</w:t>
        </w:r>
      </w:hyperlink>
    </w:p>
    <w:p>
      <w:pPr>
        <w:pStyle w:val="BodyText"/>
      </w:pPr>
      <w:r>
        <w:t xml:space="preserve">Repetto, E. (2025). Concept</w:t>
      </w:r>
      <w:r>
        <w:t xml:space="preserve"> </w:t>
      </w:r>
      <w:r>
        <w:t xml:space="preserve">‘stretching’</w:t>
      </w:r>
      <w:r>
        <w:t xml:space="preserve"> </w:t>
      </w:r>
      <w:r>
        <w:t xml:space="preserve">or concept innovation? A review of the usages of sovereignty in the digital sovereignty literature. Policy &amp; Internet, 17(3), Article e70011. </w:t>
      </w:r>
      <w:hyperlink r:id="rId160">
        <w:r>
          <w:rPr>
            <w:rStyle w:val="Hyperlink"/>
          </w:rPr>
          <w:t xml:space="preserve">https://doi.org/10.1002/poi3.70011</w:t>
        </w:r>
      </w:hyperlink>
    </w:p>
    <w:p>
      <w:pPr>
        <w:pStyle w:val="BodyText"/>
      </w:pPr>
      <w:r>
        <w:t xml:space="preserve">Rietveld, J., Schilling, M. A., &amp; Bellavitis, C. (2019). Platform strategy: Managing ecosystem value through selective promotion of complements. Organization Science, 30(6), 1232–1251. </w:t>
      </w:r>
      <w:hyperlink r:id="rId161">
        <w:r>
          <w:rPr>
            <w:rStyle w:val="Hyperlink"/>
          </w:rPr>
          <w:t xml:space="preserve">https://doi.org/10.1287/orsc.2019.1290</w:t>
        </w:r>
      </w:hyperlink>
    </w:p>
    <w:p>
      <w:pPr>
        <w:pStyle w:val="BodyText"/>
      </w:pPr>
      <w:r>
        <w:t xml:space="preserve">Roberts, H., Cowls, J., Casolari, F., Morley, J., Taddeo, M., &amp; Floridi, L. (2021). Safeguarding European values with digital sovereignty: An analysis of statements and policies. Internet Policy Review, 10(3). </w:t>
      </w:r>
      <w:hyperlink r:id="rId162">
        <w:r>
          <w:rPr>
            <w:rStyle w:val="Hyperlink"/>
          </w:rPr>
          <w:t xml:space="preserve">https://doi.org/10.14763/2021.3.1575</w:t>
        </w:r>
      </w:hyperlink>
    </w:p>
    <w:p>
      <w:pPr>
        <w:pStyle w:val="BodyText"/>
      </w:pPr>
      <w:r>
        <w:t xml:space="preserve">Robinson, A. P., Jarrahi, M. H., Keegan, A., &amp; Meijerink, J. (2026). Algorithmic management in limbo: Task-driven interweaving of hierarchy and market management. Human Resource Management, 65(1), 117–131. </w:t>
      </w:r>
      <w:hyperlink r:id="rId163">
        <w:r>
          <w:rPr>
            <w:rStyle w:val="Hyperlink"/>
          </w:rPr>
          <w:t xml:space="preserve">https://doi.org/10.1002/hrm.70019</w:t>
        </w:r>
      </w:hyperlink>
    </w:p>
    <w:p>
      <w:pPr>
        <w:pStyle w:val="BodyText"/>
      </w:pPr>
      <w:r>
        <w:t xml:space="preserve">Rochet, J.-C., &amp; Tirole, J. (2003). Platform competition in two-sided markets. Journal of the European Economic Association, 1(4), 990–1029. </w:t>
      </w:r>
      <w:hyperlink r:id="rId164">
        <w:r>
          <w:rPr>
            <w:rStyle w:val="Hyperlink"/>
          </w:rPr>
          <w:t xml:space="preserve">https://doi.org/10.1162/154247603322493212</w:t>
        </w:r>
      </w:hyperlink>
    </w:p>
    <w:p>
      <w:pPr>
        <w:pStyle w:val="BodyText"/>
      </w:pPr>
      <w:r>
        <w:t xml:space="preserve">Ryall, M. D., &amp; Sorenson, O. (2007). Brokers and competitive advantage. Management Science, 53(4), 566–583. </w:t>
      </w:r>
      <w:hyperlink r:id="rId165">
        <w:r>
          <w:rPr>
            <w:rStyle w:val="Hyperlink"/>
          </w:rPr>
          <w:t xml:space="preserve">https://doi.org/10.1287/mnsc.1060.0675</w:t>
        </w:r>
      </w:hyperlink>
    </w:p>
    <w:p>
      <w:pPr>
        <w:pStyle w:val="BodyText"/>
      </w:pPr>
      <w:r>
        <w:t xml:space="preserve">Sander, I. (2020). What is critical big data literacy and how can it be implemented? Internet Policy Review, 9(2). </w:t>
      </w:r>
      <w:hyperlink r:id="rId166">
        <w:r>
          <w:rPr>
            <w:rStyle w:val="Hyperlink"/>
          </w:rPr>
          <w:t xml:space="preserve">https://doi.org/10.14763/2020.2.1479</w:t>
        </w:r>
      </w:hyperlink>
    </w:p>
    <w:p>
      <w:pPr>
        <w:pStyle w:val="BodyText"/>
      </w:pPr>
      <w:r>
        <w:t xml:space="preserve">Savolainen, L., &amp; Ruckenstein, M. (2024). Dimensions of autonomy in human–algorithm relations. New Media &amp; Society, 26(6), 3472–3490. </w:t>
      </w:r>
      <w:hyperlink r:id="rId167">
        <w:r>
          <w:rPr>
            <w:rStyle w:val="Hyperlink"/>
          </w:rPr>
          <w:t xml:space="preserve">https://doi.org/10.1177/14614448221100802</w:t>
        </w:r>
      </w:hyperlink>
    </w:p>
    <w:p>
      <w:pPr>
        <w:pStyle w:val="BodyText"/>
      </w:pPr>
      <w:r>
        <w:t xml:space="preserve">Schegg, R. (2024). European hotel distribution study 2024: Results for the reference year 2023. HES-SO Valais-Wallis, Institute of Tourism, for HOTREC. </w:t>
      </w:r>
      <w:hyperlink r:id="rId168">
        <w:r>
          <w:rPr>
            <w:rStyle w:val="Hyperlink"/>
          </w:rPr>
          <w:t xml:space="preserve">https://www.hotrec.eu/media/static/files/import/all_news_2024_2024_21/hotrec-distribution-study-2024.pdf</w:t>
        </w:r>
      </w:hyperlink>
    </w:p>
    <w:p>
      <w:pPr>
        <w:pStyle w:val="BodyText"/>
      </w:pPr>
      <w:r>
        <w:t xml:space="preserve">Schlager, E., &amp; Ostrom, E. (1992). Property-rights regimes and natural resources: A conceptual analysis. Land Economics, 68(3), 249–262. </w:t>
      </w:r>
      <w:hyperlink r:id="rId169">
        <w:r>
          <w:rPr>
            <w:rStyle w:val="Hyperlink"/>
          </w:rPr>
          <w:t xml:space="preserve">https://doi.org/10.2307/3146375</w:t>
        </w:r>
      </w:hyperlink>
    </w:p>
    <w:p>
      <w:pPr>
        <w:pStyle w:val="BodyText"/>
      </w:pPr>
      <w:r>
        <w:t xml:space="preserve">Scholz, T. (2016). Platform cooperativism: Challenging the corporate sharing economy. Rosa Luxemburg Stiftung, New York Office.</w:t>
      </w:r>
    </w:p>
    <w:p>
      <w:pPr>
        <w:pStyle w:val="BodyText"/>
      </w:pPr>
      <w:r>
        <w:t xml:space="preserve">Scholz, T. (2023). Own this! How platform cooperatives help workers build a democratic internet. Verso.</w:t>
      </w:r>
    </w:p>
    <w:p>
      <w:pPr>
        <w:pStyle w:val="BodyText"/>
      </w:pPr>
      <w:r>
        <w:t xml:space="preserve">Schor, J. B., Attwood-Charles, W., Cansoy, M., Ladegaard, I., &amp; Wengronowitz, R. (2020). Dependence and precarity in the platform economy. Theory and Society, 49(5–6), 833–861. </w:t>
      </w:r>
      <w:hyperlink r:id="rId170">
        <w:r>
          <w:rPr>
            <w:rStyle w:val="Hyperlink"/>
          </w:rPr>
          <w:t xml:space="preserve">https://doi.org/10.1007/s11186-020-09408-y</w:t>
        </w:r>
      </w:hyperlink>
    </w:p>
    <w:p>
      <w:pPr>
        <w:pStyle w:val="BodyText"/>
      </w:pPr>
      <w:r>
        <w:t xml:space="preserve">Schwartz, M., &amp; Vincent, D. R. (2020). Platform competition with cash-back rebates under no surcharge rules. Journal of Industrial Economics, 68(2), 298–327. </w:t>
      </w:r>
      <w:hyperlink r:id="rId171">
        <w:r>
          <w:rPr>
            <w:rStyle w:val="Hyperlink"/>
          </w:rPr>
          <w:t xml:space="preserve">https://doi.org/10.1111/joie.12210</w:t>
        </w:r>
      </w:hyperlink>
    </w:p>
    <w:p>
      <w:pPr>
        <w:pStyle w:val="BodyText"/>
      </w:pPr>
      <w:r>
        <w:t xml:space="preserve">Schüßler, E., Attwood-Charles, W., Kirchner, S., &amp; Schor, J. B. (2021). Between mutuality, autonomy and domination: Rethinking digital platforms as contested relational structures. Socio-Economic Review, 19(4), 1217–1243. </w:t>
      </w:r>
      <w:hyperlink r:id="rId172">
        <w:r>
          <w:rPr>
            <w:rStyle w:val="Hyperlink"/>
          </w:rPr>
          <w:t xml:space="preserve">https://doi.org/10.1093/ser/mwab038</w:t>
        </w:r>
      </w:hyperlink>
    </w:p>
    <w:p>
      <w:pPr>
        <w:pStyle w:val="BodyText"/>
      </w:pPr>
      <w:r>
        <w:t xml:space="preserve">Scott, J. C. (1998). Seeing like a state: How certain schemes to improve the human condition have failed. Yale University Press.</w:t>
      </w:r>
    </w:p>
    <w:p>
      <w:pPr>
        <w:pStyle w:val="BodyText"/>
      </w:pPr>
      <w:r>
        <w:t xml:space="preserve">Scribner, S., &amp; Cole, M. (1981). The psychology of literacy. Harvard University Press.</w:t>
      </w:r>
    </w:p>
    <w:p>
      <w:pPr>
        <w:pStyle w:val="BodyText"/>
      </w:pPr>
      <w:r>
        <w:t xml:space="preserve">Seibert, S. E., Wang, G., &amp; Courtright, S. H. (2011). Antecedents and consequences of psychological and team empowerment in organizations: A meta-analytic review. Journal of Applied Psychology, 96(5), 981–1003. </w:t>
      </w:r>
      <w:hyperlink r:id="rId173">
        <w:r>
          <w:rPr>
            <w:rStyle w:val="Hyperlink"/>
          </w:rPr>
          <w:t xml:space="preserve">https://doi.org/10.1037/a0022676</w:t>
        </w:r>
      </w:hyperlink>
    </w:p>
    <w:p>
      <w:pPr>
        <w:pStyle w:val="BodyText"/>
      </w:pPr>
      <w:r>
        <w:t xml:space="preserve">Sekar, S., &amp; Siddiq, A. (2026). Platform disintermediation: Information effects and pricing remedies. Operations Research, 74(3), 1304–1320. </w:t>
      </w:r>
      <w:hyperlink r:id="rId174">
        <w:r>
          <w:rPr>
            <w:rStyle w:val="Hyperlink"/>
          </w:rPr>
          <w:t xml:space="preserve">https://doi.org/10.1287/opre.2025.2046</w:t>
        </w:r>
      </w:hyperlink>
    </w:p>
    <w:p>
      <w:pPr>
        <w:pStyle w:val="BodyText"/>
      </w:pPr>
      <w:r>
        <w:t xml:space="preserve">Selznick, P. (1949). TVA and the grass roots: A study in the sociology of formal organization. University of California Press.</w:t>
      </w:r>
    </w:p>
    <w:p>
      <w:pPr>
        <w:pStyle w:val="BodyText"/>
      </w:pPr>
      <w:r>
        <w:t xml:space="preserve">Sen, A. (1999). Development as freedom. Alfred A. Knopf.</w:t>
      </w:r>
    </w:p>
    <w:p>
      <w:pPr>
        <w:pStyle w:val="BodyText"/>
      </w:pPr>
      <w:r>
        <w:t xml:space="preserve">Shen, H., DeVos, A., Eslami, M., &amp; Holstein, K. (2021). Everyday algorithm auditing: Understanding the power of everyday users in surfacing harmful algorithmic behaviors. Proceedings of the ACM on Human-Computer Interaction, 5(CSCW2), Article 433. </w:t>
      </w:r>
      <w:hyperlink r:id="rId175">
        <w:r>
          <w:rPr>
            <w:rStyle w:val="Hyperlink"/>
          </w:rPr>
          <w:t xml:space="preserve">https://doi.org/10.1145/3479577</w:t>
        </w:r>
      </w:hyperlink>
    </w:p>
    <w:p>
      <w:pPr>
        <w:pStyle w:val="BodyText"/>
      </w:pPr>
      <w:r>
        <w:t xml:space="preserve">Simmel, G. (1950). The sociology of Georg Simmel (K. H. Wolff, Ed. &amp; Trans.). Free Press. (Original work published 1908)</w:t>
      </w:r>
    </w:p>
    <w:p>
      <w:pPr>
        <w:pStyle w:val="BodyText"/>
      </w:pPr>
      <w:r>
        <w:t xml:space="preserve">Sims, R. (2022, May 2). The logic behind Australia’s News Media Bargaining Code. VoxEU/CEPR. </w:t>
      </w:r>
      <w:hyperlink r:id="rId176">
        <w:r>
          <w:rPr>
            <w:rStyle w:val="Hyperlink"/>
          </w:rPr>
          <w:t xml:space="preserve">https://cepr.org/voxeu/columns/logic-behind-australias-news-media-bargaining-code</w:t>
        </w:r>
      </w:hyperlink>
    </w:p>
    <w:p>
      <w:pPr>
        <w:pStyle w:val="BodyText"/>
      </w:pPr>
      <w:r>
        <w:t xml:space="preserve">Sivetc, L. (2021). Controlling free expression by infrastructure in the Russian Internet: The consequences of RuNet sovereignization. First Monday, 26(5). </w:t>
      </w:r>
      <w:hyperlink r:id="rId177">
        <w:r>
          <w:rPr>
            <w:rStyle w:val="Hyperlink"/>
          </w:rPr>
          <w:t xml:space="preserve">https://doi.org/10.5210/fm.v26i5.11698</w:t>
        </w:r>
      </w:hyperlink>
    </w:p>
    <w:p>
      <w:pPr>
        <w:pStyle w:val="BodyText"/>
      </w:pPr>
      <w:r>
        <w:t xml:space="preserve">Skinner, Q. (1998). Liberty before liberalism. Cambridge University Press. </w:t>
      </w:r>
      <w:hyperlink r:id="rId178">
        <w:r>
          <w:rPr>
            <w:rStyle w:val="Hyperlink"/>
          </w:rPr>
          <w:t xml:space="preserve">https://doi.org/10.1017/CBO9781139171274</w:t>
        </w:r>
      </w:hyperlink>
    </w:p>
    <w:p>
      <w:pPr>
        <w:pStyle w:val="BodyText"/>
      </w:pPr>
      <w:r>
        <w:t xml:space="preserve">Spreitzer, G. M. (1995). Psychological empowerment in the workplace: Dimensions, measurement, and validation. Academy of Management Journal, 38(5), 1442–1465. </w:t>
      </w:r>
      <w:hyperlink r:id="rId179">
        <w:r>
          <w:rPr>
            <w:rStyle w:val="Hyperlink"/>
          </w:rPr>
          <w:t xml:space="preserve">https://doi.org/10.5465/256865</w:t>
        </w:r>
      </w:hyperlink>
    </w:p>
    <w:p>
      <w:pPr>
        <w:pStyle w:val="BodyText"/>
      </w:pPr>
      <w:r>
        <w:t xml:space="preserve">Stadnik, I. (2021). Control by infrastructure: Political ambitions meet technical implementations in RuNet. First Monday, 26(5). </w:t>
      </w:r>
      <w:hyperlink r:id="rId180">
        <w:r>
          <w:rPr>
            <w:rStyle w:val="Hyperlink"/>
          </w:rPr>
          <w:t xml:space="preserve">https://doi.org/10.5210/fm.v26i5.11693</w:t>
        </w:r>
      </w:hyperlink>
    </w:p>
    <w:p>
      <w:pPr>
        <w:pStyle w:val="BodyText"/>
      </w:pPr>
      <w:r>
        <w:t xml:space="preserve">Stangl, B., Inversini, A., &amp; Schegg, R. (2016). Hotels’ dependency on online intermediaries and their chosen distribution channel portfolios: Three country insights. International Journal of Hospitality Management, 52, 87–96. </w:t>
      </w:r>
      <w:hyperlink r:id="rId181">
        <w:r>
          <w:rPr>
            <w:rStyle w:val="Hyperlink"/>
          </w:rPr>
          <w:t xml:space="preserve">https://doi.org/10.1016/j.ijhm.2015.09.015</w:t>
        </w:r>
      </w:hyperlink>
    </w:p>
    <w:p>
      <w:pPr>
        <w:pStyle w:val="BodyText"/>
      </w:pPr>
      <w:r>
        <w:t xml:space="preserve">Stark, D., &amp; Pais, I. (2020). Algorithmic management in the platform economy. Sociologica, 14(3), 47–72. </w:t>
      </w:r>
      <w:hyperlink r:id="rId182">
        <w:r>
          <w:rPr>
            <w:rStyle w:val="Hyperlink"/>
          </w:rPr>
          <w:t xml:space="preserve">https://doi.org/10.6092/issn.1971-8853/12221</w:t>
        </w:r>
      </w:hyperlink>
    </w:p>
    <w:p>
      <w:pPr>
        <w:pStyle w:val="BodyText"/>
      </w:pPr>
      <w:r>
        <w:t xml:space="preserve">Stark, D., &amp; Vanden Broeck, P. (2024). Principles of algorithmic management. Organization Theory, 5(2), 1–24. </w:t>
      </w:r>
      <w:hyperlink r:id="rId183">
        <w:r>
          <w:rPr>
            <w:rStyle w:val="Hyperlink"/>
          </w:rPr>
          <w:t xml:space="preserve">https://doi.org/10.1177/26317877241257213</w:t>
        </w:r>
      </w:hyperlink>
    </w:p>
    <w:p>
      <w:pPr>
        <w:pStyle w:val="BodyText"/>
      </w:pPr>
      <w:r>
        <w:t xml:space="preserve">Stovel, K., &amp; Shaw, L. (2012). Brokerage. Annual Review of Sociology, 38, 139–158. </w:t>
      </w:r>
      <w:hyperlink r:id="rId184">
        <w:r>
          <w:rPr>
            <w:rStyle w:val="Hyperlink"/>
          </w:rPr>
          <w:t xml:space="preserve">https://doi.org/10.1146/annurev-soc-081309-150054</w:t>
        </w:r>
      </w:hyperlink>
    </w:p>
    <w:p>
      <w:pPr>
        <w:pStyle w:val="BodyText"/>
      </w:pPr>
      <w:r>
        <w:t xml:space="preserve">Street, B. V. (1984). Literacy in theory and practice. Cambridge University Press.</w:t>
      </w:r>
    </w:p>
    <w:p>
      <w:pPr>
        <w:pStyle w:val="BodyText"/>
      </w:pPr>
      <w:r>
        <w:t xml:space="preserve">Sutherland, W., Jarrahi, M. H., Dunn, M., &amp; Nelson, S. B. (2020). Work precarity and gig literacies in online freelancing. Work, Employment and Society, 34(3), 457–475. </w:t>
      </w:r>
      <w:hyperlink r:id="rId185">
        <w:r>
          <w:rPr>
            <w:rStyle w:val="Hyperlink"/>
          </w:rPr>
          <w:t xml:space="preserve">https://doi.org/10.1177/0950017019886511</w:t>
        </w:r>
      </w:hyperlink>
    </w:p>
    <w:p>
      <w:pPr>
        <w:pStyle w:val="BodyText"/>
      </w:pPr>
      <w:r>
        <w:t xml:space="preserve">Teh, T.-H. (2022). Platform governance. American Economic Journal: Microeconomics, 14(3), 213–254. </w:t>
      </w:r>
      <w:hyperlink r:id="rId186">
        <w:r>
          <w:rPr>
            <w:rStyle w:val="Hyperlink"/>
          </w:rPr>
          <w:t xml:space="preserve">https://doi.org/10.1257/mic.20190307</w:t>
        </w:r>
      </w:hyperlink>
    </w:p>
    <w:p>
      <w:pPr>
        <w:pStyle w:val="BodyText"/>
      </w:pPr>
      <w:r>
        <w:t xml:space="preserve">Thompson, G. F. (2003). Between hierarchies and markets: The logic and limits of network forms of organization. Oxford University Press. </w:t>
      </w:r>
      <w:hyperlink r:id="rId187">
        <w:r>
          <w:rPr>
            <w:rStyle w:val="Hyperlink"/>
          </w:rPr>
          <w:t xml:space="preserve">https://doi.org/10.1093/acprof:oso/9780198775270.001.0001</w:t>
        </w:r>
      </w:hyperlink>
    </w:p>
    <w:p>
      <w:pPr>
        <w:pStyle w:val="BodyText"/>
      </w:pPr>
      <w:r>
        <w:t xml:space="preserve">Thompson, J. D. (1967). Organizations in action: Social science bases of administrative theory. McGraw-Hill.</w:t>
      </w:r>
    </w:p>
    <w:p>
      <w:pPr>
        <w:pStyle w:val="BodyText"/>
      </w:pPr>
      <w:r>
        <w:t xml:space="preserve">Tortorici, S. (2026). The blown head gasket effect: Rise and struggles of The Drivers Cooperative in New York City. Internet Policy Review, 15(1). </w:t>
      </w:r>
      <w:hyperlink r:id="rId188">
        <w:r>
          <w:rPr>
            <w:rStyle w:val="Hyperlink"/>
          </w:rPr>
          <w:t xml:space="preserve">https://doi.org/10.14763/2026.1.2063</w:t>
        </w:r>
      </w:hyperlink>
    </w:p>
    <w:p>
      <w:pPr>
        <w:pStyle w:val="BodyText"/>
      </w:pPr>
      <w:r>
        <w:t xml:space="preserve">Vaccaro, K., Sandvig, C., &amp; Karahalios, K. (2020).</w:t>
      </w:r>
      <w:r>
        <w:t xml:space="preserve"> </w:t>
      </w:r>
      <w:r>
        <w:t xml:space="preserve">“At the end of the day Facebook does what it wants”</w:t>
      </w:r>
      <w:r>
        <w:t xml:space="preserve">: How users experience contesting algorithmic content moderation. Proceedings of the ACM on Human-Computer Interaction, 4(CSCW2), Article 167. </w:t>
      </w:r>
      <w:hyperlink r:id="rId189">
        <w:r>
          <w:rPr>
            <w:rStyle w:val="Hyperlink"/>
          </w:rPr>
          <w:t xml:space="preserve">https://doi.org/10.1145/3415238</w:t>
        </w:r>
      </w:hyperlink>
    </w:p>
    <w:p>
      <w:pPr>
        <w:pStyle w:val="BodyText"/>
      </w:pPr>
      <w:r>
        <w:t xml:space="preserve">Vallas, S., &amp; Schor, J. B. (2020). What do platforms do? Understanding the gig economy. Annual Review of Sociology, 46(1), 273–294. </w:t>
      </w:r>
      <w:hyperlink r:id="rId190">
        <w:r>
          <w:rPr>
            <w:rStyle w:val="Hyperlink"/>
          </w:rPr>
          <w:t xml:space="preserve">https://doi.org/10.1146/annurev-soc-121919-054857</w:t>
        </w:r>
      </w:hyperlink>
    </w:p>
    <w:p>
      <w:pPr>
        <w:pStyle w:val="BodyText"/>
      </w:pPr>
      <w:r>
        <w:t xml:space="preserve">van Doorn, N., &amp; Badger, A. (2020). Platform capitalism’s hidden abode: Producing data assets in the gig economy. Antipode, 52(5), 1475–1495. </w:t>
      </w:r>
      <w:hyperlink r:id="rId191">
        <w:r>
          <w:rPr>
            <w:rStyle w:val="Hyperlink"/>
          </w:rPr>
          <w:t xml:space="preserve">https://doi.org/10.1111/anti.12641</w:t>
        </w:r>
      </w:hyperlink>
    </w:p>
    <w:p>
      <w:pPr>
        <w:pStyle w:val="BodyText"/>
      </w:pPr>
      <w:r>
        <w:t xml:space="preserve">Velasco, J. (2026). Economic dependence: A new frontier in EU competition law? European Law Journal, 32(1), 55–69. </w:t>
      </w:r>
      <w:hyperlink r:id="rId192">
        <w:r>
          <w:rPr>
            <w:rStyle w:val="Hyperlink"/>
          </w:rPr>
          <w:t xml:space="preserve">https://doi.org/10.1111/eulj.70025</w:t>
        </w:r>
      </w:hyperlink>
    </w:p>
    <w:p>
      <w:pPr>
        <w:pStyle w:val="BodyText"/>
      </w:pPr>
      <w:r>
        <w:t xml:space="preserve">Viljoen, S. (2021). A relational theory of data governance. Yale Law Journal, 131(2), 573–654. </w:t>
      </w:r>
      <w:hyperlink r:id="rId193">
        <w:r>
          <w:rPr>
            <w:rStyle w:val="Hyperlink"/>
          </w:rPr>
          <w:t xml:space="preserve">https://www.yalelawjournal.org/article/a-relational-theory-of-data-governance</w:t>
        </w:r>
      </w:hyperlink>
    </w:p>
    <w:p>
      <w:pPr>
        <w:pStyle w:val="BodyText"/>
      </w:pPr>
      <w:r>
        <w:t xml:space="preserve">Waardenburg, L., Huysman, M., &amp; Sergeeva, A. V. (2022). In the land of the blind, the one-eyed man is king: Knowledge brokerage in the age of learning algorithms. Organization Science, 33(1), 59–82. </w:t>
      </w:r>
      <w:hyperlink r:id="rId194">
        <w:r>
          <w:rPr>
            <w:rStyle w:val="Hyperlink"/>
          </w:rPr>
          <w:t xml:space="preserve">https://doi.org/10.1287/orsc.2021.1544</w:t>
        </w:r>
      </w:hyperlink>
    </w:p>
    <w:p>
      <w:pPr>
        <w:pStyle w:val="BodyText"/>
      </w:pPr>
      <w:r>
        <w:t xml:space="preserve">Wals, F., &amp; Schinkel, M. P. (2018). Platform monopolization by narrow-PPC-BPG combination: Booking et al. International Journal of Industrial Organization, 61, 572–589. </w:t>
      </w:r>
      <w:hyperlink r:id="rId195">
        <w:r>
          <w:rPr>
            <w:rStyle w:val="Hyperlink"/>
          </w:rPr>
          <w:t xml:space="preserve">https://doi.org/10.1016/j.ijindorg.2018.03.006</w:t>
        </w:r>
      </w:hyperlink>
    </w:p>
    <w:p>
      <w:pPr>
        <w:pStyle w:val="BodyText"/>
      </w:pPr>
      <w:r>
        <w:t xml:space="preserve">Wang, C., &amp; Wright, J. (2020). Search platforms: Showrooming and price parity clauses. RAND Journal of Economics, 51(1), 32–58. </w:t>
      </w:r>
      <w:hyperlink r:id="rId196">
        <w:r>
          <w:rPr>
            <w:rStyle w:val="Hyperlink"/>
          </w:rPr>
          <w:t xml:space="preserve">https://doi.org/10.1111/1756-2171.12305</w:t>
        </w:r>
      </w:hyperlink>
    </w:p>
    <w:p>
      <w:pPr>
        <w:pStyle w:val="BodyText"/>
      </w:pPr>
      <w:r>
        <w:t xml:space="preserve">Wang, C., &amp; Wright, J. (2023). Platform investment and price parity clauses. Journal of Industrial Economics, 71(2), 538–569. </w:t>
      </w:r>
      <w:hyperlink r:id="rId197">
        <w:r>
          <w:rPr>
            <w:rStyle w:val="Hyperlink"/>
          </w:rPr>
          <w:t xml:space="preserve">https://doi.org/10.1111/joie.12329</w:t>
        </w:r>
      </w:hyperlink>
    </w:p>
    <w:p>
      <w:pPr>
        <w:pStyle w:val="BodyText"/>
      </w:pPr>
      <w:r>
        <w:t xml:space="preserve">Williamson, O. E. (1975). Markets and hierarchies: Analysis and antitrust implications. Free Press.</w:t>
      </w:r>
    </w:p>
    <w:p>
      <w:pPr>
        <w:pStyle w:val="BodyText"/>
      </w:pPr>
      <w:r>
        <w:t xml:space="preserve">Wood, A. J., Graham, M., Lehdonvirta, V., &amp; Hjorth, I. (2019). Good gig, bad gig: Autonomy and algorithmic control in the global gig economy. Work, Employment and Society, 33(1), 56–75. </w:t>
      </w:r>
      <w:hyperlink r:id="rId198">
        <w:r>
          <w:rPr>
            <w:rStyle w:val="Hyperlink"/>
          </w:rPr>
          <w:t xml:space="preserve">https://doi.org/10.1177/0950017018785616</w:t>
        </w:r>
      </w:hyperlink>
    </w:p>
    <w:p>
      <w:pPr>
        <w:pStyle w:val="BodyText"/>
      </w:pPr>
      <w:r>
        <w:t xml:space="preserve">Zhou, L., Lei, X., Liu, M., Huang, X., &amp; Hou, R. (2025). Algorithmic competency of on-demand labor platform workers: Scale development, antecedents, and consequences. Asia Pacific Journal of Human Resources, 63(2). </w:t>
      </w:r>
      <w:hyperlink r:id="rId199">
        <w:r>
          <w:rPr>
            <w:rStyle w:val="Hyperlink"/>
          </w:rPr>
          <w:t xml:space="preserve">https://doi.org/10.1111/1744-7941.70004</w:t>
        </w:r>
      </w:hyperlink>
    </w:p>
    <w:p>
      <w:pPr>
        <w:pStyle w:val="BodyText"/>
      </w:pPr>
      <w:r>
        <w:t xml:space="preserve">Zhu, F., &amp; Liu, Q. (2018). Competing with complementors: An empirical look at</w:t>
      </w:r>
      <w:r>
        <w:t xml:space="preserve"> </w:t>
      </w:r>
      <w:hyperlink r:id="rId200">
        <w:r>
          <w:rPr>
            <w:rStyle w:val="Hyperlink"/>
          </w:rPr>
          <w:t xml:space="preserve">Amazon.com</w:t>
        </w:r>
      </w:hyperlink>
      <w:r>
        <w:t xml:space="preserve">. Strategic Management Journal, 39(10), 2618–2642. </w:t>
      </w:r>
      <w:hyperlink r:id="rId201">
        <w:r>
          <w:rPr>
            <w:rStyle w:val="Hyperlink"/>
          </w:rPr>
          <w:t xml:space="preserve">https://doi.org/10.1002/smj.2932</w:t>
        </w:r>
      </w:hyperlink>
    </w:p>
    <w:bookmarkEnd w:id="202"/>
    <w:bookmarkStart w:id="211" w:name="legislation"/>
    <w:p>
      <w:pPr>
        <w:pStyle w:val="Heading2"/>
      </w:pPr>
      <w:r>
        <w:t xml:space="preserve">Legislation</w:t>
      </w:r>
    </w:p>
    <w:p>
      <w:pPr>
        <w:pStyle w:val="FirstParagraph"/>
      </w:pPr>
      <w:r>
        <w:t xml:space="preserve">Directive (EU) 2022/2555 of the European Parliament and of the Council of 14 December 2022 on measures for a high common level of cybersecurity across the Union, amending Regulation (EU) No 910/2014 and Directive (EU) 2018/1972, and repealing Directive (EU) 2016/1148 (NIS 2 Directive), OJ L 333, 27.12.2022, pp. 80–152. </w:t>
      </w:r>
      <w:hyperlink r:id="rId203">
        <w:r>
          <w:rPr>
            <w:rStyle w:val="Hyperlink"/>
          </w:rPr>
          <w:t xml:space="preserve">http://data.europa.eu/eli/dir/2022/2555/oj</w:t>
        </w:r>
      </w:hyperlink>
    </w:p>
    <w:p>
      <w:pPr>
        <w:pStyle w:val="BodyText"/>
      </w:pPr>
      <w:r>
        <w:t xml:space="preserve">Directive (EU) 2024/2831 of the European Parliament and of the Council of 23 October 2024 on improving working conditions in platform work, OJ L, 2024/2831 (11 November 2024). </w:t>
      </w:r>
      <w:hyperlink r:id="rId204">
        <w:r>
          <w:rPr>
            <w:rStyle w:val="Hyperlink"/>
          </w:rPr>
          <w:t xml:space="preserve">http://data.europa.eu/eli/dir/2024/2831/oj</w:t>
        </w:r>
      </w:hyperlink>
    </w:p>
    <w:p>
      <w:pPr>
        <w:pStyle w:val="BodyText"/>
      </w:pPr>
      <w:r>
        <w:t xml:space="preserve">Regulation (EU) 2016/679 of the European Parliament and of the Council of 27 April 2016 on the protection of natural persons with regard to the processing of personal data and on the free movement of such data, and repealing Directive 95/46/EC (General Data Protection Regulation), OJ L 119, 4.5.2016, p. 1–88. </w:t>
      </w:r>
      <w:hyperlink r:id="rId205">
        <w:r>
          <w:rPr>
            <w:rStyle w:val="Hyperlink"/>
          </w:rPr>
          <w:t xml:space="preserve">http://data.europa.eu/eli/reg/2016/679/oj</w:t>
        </w:r>
      </w:hyperlink>
    </w:p>
    <w:p>
      <w:pPr>
        <w:pStyle w:val="BodyText"/>
      </w:pPr>
      <w:r>
        <w:t xml:space="preserve">Regulation (EU) 2019/1150 of the European Parliament and of the Council of 20 June 2019 on promoting fairness and transparency for business users of online intermediation services, OJ L 186, 11.7.2019, pp. 57–79. </w:t>
      </w:r>
      <w:hyperlink r:id="rId206">
        <w:r>
          <w:rPr>
            <w:rStyle w:val="Hyperlink"/>
          </w:rPr>
          <w:t xml:space="preserve">http://data.europa.eu/eli/reg/2019/1150/oj</w:t>
        </w:r>
      </w:hyperlink>
    </w:p>
    <w:p>
      <w:pPr>
        <w:pStyle w:val="BodyText"/>
      </w:pPr>
      <w:r>
        <w:t xml:space="preserve">Regulation (EU) 2022/2065 of the European Parliament and of the Council of 19 October 2022 on a Single Market for Digital Services and amending Directive 2000/31/EC (Digital Services Act), OJ L 277, 27.10.2022. </w:t>
      </w:r>
      <w:hyperlink r:id="rId207">
        <w:r>
          <w:rPr>
            <w:rStyle w:val="Hyperlink"/>
          </w:rPr>
          <w:t xml:space="preserve">http://data.europa.eu/eli/reg/2022/2065/oj</w:t>
        </w:r>
      </w:hyperlink>
    </w:p>
    <w:p>
      <w:pPr>
        <w:pStyle w:val="BodyText"/>
      </w:pPr>
      <w:r>
        <w:t xml:space="preserve">Regulation (EU) 2022/868 of the European Parliament and of the Council of 30 May 2022 on European data governance and amending Regulation (EU) 2018/1724 (Data Governance Act), OJ L 152, 3.6.2022, pp. 1–44. </w:t>
      </w:r>
      <w:hyperlink r:id="rId208">
        <w:r>
          <w:rPr>
            <w:rStyle w:val="Hyperlink"/>
          </w:rPr>
          <w:t xml:space="preserve">http://data.europa.eu/eli/reg/2022/868/oj</w:t>
        </w:r>
      </w:hyperlink>
    </w:p>
    <w:p>
      <w:pPr>
        <w:pStyle w:val="BodyText"/>
      </w:pPr>
      <w:r>
        <w:t xml:space="preserve">Regulation (EU) 2024/1689 of the European Parliament and of the Council of 13 June 2024 laying down harmonised rules on artificial intelligence (Artificial Intelligence Act), OJ L, 2024/1689, 12.7.2024, as amended by Regulation (EU) 2026/1744 (Digital Omnibus on AI), OJ L, 2026/1744. </w:t>
      </w:r>
      <w:hyperlink r:id="rId209">
        <w:r>
          <w:rPr>
            <w:rStyle w:val="Hyperlink"/>
          </w:rPr>
          <w:t xml:space="preserve">http://data.europa.eu/eli/reg/2024/1689/oj</w:t>
        </w:r>
      </w:hyperlink>
    </w:p>
    <w:p>
      <w:pPr>
        <w:pStyle w:val="BodyText"/>
      </w:pPr>
      <w:r>
        <w:t xml:space="preserve">Regulation (EU) 2026/1744 of the European Parliament and of the Council of 8 July 2026 amending Regulations (EU) 2024/1689, (EU) 2018/1139 and (EU) 2023/1230 as regards the simplification of the implementation of harmonised rules on artificial intelligence (Digital Omnibus on AI), OJ L, 24.7.2026. </w:t>
      </w:r>
      <w:hyperlink r:id="rId210">
        <w:r>
          <w:rPr>
            <w:rStyle w:val="Hyperlink"/>
          </w:rPr>
          <w:t xml:space="preserve">https://eur-lex.europa.eu/eli/reg/2026/1744/oj</w:t>
        </w:r>
      </w:hyperlink>
    </w:p>
    <w:bookmarkEnd w:id="211"/>
    <w:bookmarkStart w:id="218" w:name="cases"/>
    <w:p>
      <w:pPr>
        <w:pStyle w:val="Heading2"/>
      </w:pPr>
      <w:r>
        <w:t xml:space="preserve">Cases</w:t>
      </w:r>
    </w:p>
    <w:p>
      <w:pPr>
        <w:pStyle w:val="FirstParagraph"/>
      </w:pPr>
      <w:r>
        <w:t xml:space="preserve">Case C-203/22, CK v Magistrat der Stadt Wien (Dun &amp; Bradstreet Austria), ECLI:EU:C:2025:117 (Judgment of the Court, 27 February 2025).</w:t>
      </w:r>
    </w:p>
    <w:p>
      <w:pPr>
        <w:pStyle w:val="BodyText"/>
      </w:pPr>
      <w:r>
        <w:t xml:space="preserve">Case C-233/23, Alphabet Inc. and Others v Autorità Garante della Concorrenza e del Mercato (Android Auto), ECLI:EU:C:2025:110 (Judgment of the Court, Grand Chamber, 25 February 2025).</w:t>
      </w:r>
    </w:p>
    <w:p>
      <w:pPr>
        <w:pStyle w:val="BodyText"/>
      </w:pPr>
      <w:r>
        <w:t xml:space="preserve">Case C-264/23,</w:t>
      </w:r>
      <w:r>
        <w:t xml:space="preserve"> </w:t>
      </w:r>
      <w:hyperlink r:id="rId15">
        <w:r>
          <w:rPr>
            <w:rStyle w:val="Hyperlink"/>
          </w:rPr>
          <w:t xml:space="preserve">Booking.com</w:t>
        </w:r>
      </w:hyperlink>
      <w:r>
        <w:t xml:space="preserve"> </w:t>
      </w:r>
      <w:r>
        <w:t xml:space="preserve">BV and</w:t>
      </w:r>
      <w:r>
        <w:t xml:space="preserve"> </w:t>
      </w:r>
      <w:hyperlink r:id="rId15">
        <w:r>
          <w:rPr>
            <w:rStyle w:val="Hyperlink"/>
          </w:rPr>
          <w:t xml:space="preserve">Booking.com</w:t>
        </w:r>
      </w:hyperlink>
      <w:r>
        <w:t xml:space="preserve"> </w:t>
      </w:r>
      <w:r>
        <w:t xml:space="preserve">(Deutschland) GmbH v. 25hours Hotel Company Berlin GmbH and Others, ECLI:EU:C:2024:764 (Judgment of the Court (Second Chamber), 19 September 2024).</w:t>
      </w:r>
    </w:p>
    <w:p>
      <w:pPr>
        <w:pStyle w:val="BodyText"/>
      </w:pPr>
      <w:r>
        <w:t xml:space="preserve">Case C-634/21, OQ v Land Hessen (SCHUFA Holding, Scoring), ECLI:EU:C:2023:957 (CJEU 7 December 2023). </w:t>
      </w:r>
      <w:hyperlink r:id="rId212">
        <w:r>
          <w:rPr>
            <w:rStyle w:val="Hyperlink"/>
          </w:rPr>
          <w:t xml:space="preserve">https://eur-lex.europa.eu/legal-content/EN/TXT/?uri=CELEX:62021CJ0634</w:t>
        </w:r>
      </w:hyperlink>
    </w:p>
    <w:p>
      <w:pPr>
        <w:pStyle w:val="BodyText"/>
      </w:pPr>
      <w:r>
        <w:t xml:space="preserve">Case C-7/97, Oscar Bronner GmbH &amp; Co. KG v. Mediaprint Zeitungs- und Zeitschriftenverlag GmbH &amp; Co. KG and Others, ECLI:EU:C:1998:569 (Judgment of the Court, 26 November 1998).</w:t>
      </w:r>
    </w:p>
    <w:p>
      <w:pPr>
        <w:pStyle w:val="BodyText"/>
      </w:pPr>
      <w:r>
        <w:t xml:space="preserve">Case T-438/25, Apple v. Commission (action brought 7 July 2025, pending), OJ C/2025/5215. </w:t>
      </w:r>
      <w:hyperlink r:id="rId213">
        <w:r>
          <w:rPr>
            <w:rStyle w:val="Hyperlink"/>
          </w:rPr>
          <w:t xml:space="preserve">https://eur-lex.europa.eu/legal-content/EN/TXT/?uri=OJ:C_202505215</w:t>
        </w:r>
      </w:hyperlink>
    </w:p>
    <w:p>
      <w:pPr>
        <w:pStyle w:val="BodyText"/>
      </w:pPr>
      <w:r>
        <w:t xml:space="preserve">ECLI:NL:GHAMS:2023:793, Uber B.V. v. Drivers, Gerechtshof Amsterdam 4 April 2023. </w:t>
      </w:r>
      <w:hyperlink r:id="rId214">
        <w:r>
          <w:rPr>
            <w:rStyle w:val="Hyperlink"/>
          </w:rPr>
          <w:t xml:space="preserve">https://uitspraken.rechtspraak.nl/details?id=ECLI:NL:GHAMS:2023:793</w:t>
        </w:r>
      </w:hyperlink>
    </w:p>
    <w:p>
      <w:pPr>
        <w:pStyle w:val="BodyText"/>
      </w:pPr>
      <w:r>
        <w:t xml:space="preserve">ECLI:NL:GHAMS:2023:796, Uber B.V. v. Drivers, Gerechtshof Amsterdam 4 April 2023. </w:t>
      </w:r>
      <w:hyperlink r:id="rId215">
        <w:r>
          <w:rPr>
            <w:rStyle w:val="Hyperlink"/>
          </w:rPr>
          <w:t xml:space="preserve">https://uitspraken.rechtspraak.nl/details?id=ECLI:NL:GHAMS:2023:796</w:t>
        </w:r>
      </w:hyperlink>
    </w:p>
    <w:p>
      <w:pPr>
        <w:pStyle w:val="BodyText"/>
      </w:pPr>
      <w:r>
        <w:t xml:space="preserve">Epic Games, Inc. v. Apple Inc., No. 25-2935 (9th Cir. Dec. 11, 2025). </w:t>
      </w:r>
      <w:hyperlink r:id="rId216">
        <w:r>
          <w:rPr>
            <w:rStyle w:val="Hyperlink"/>
          </w:rPr>
          <w:t xml:space="preserve">https://cdn.ca9.uscourts.gov/datastore/opinions/2025/12/11/25-2935.pdf</w:t>
        </w:r>
      </w:hyperlink>
    </w:p>
    <w:p>
      <w:pPr>
        <w:pStyle w:val="BodyText"/>
      </w:pPr>
      <w:r>
        <w:t xml:space="preserve">Epic Games, Inc. v. Apple, Inc., 67 F.4th 946 (9th Cir. 2023).</w:t>
      </w:r>
    </w:p>
    <w:p>
      <w:pPr>
        <w:pStyle w:val="BodyText"/>
      </w:pPr>
      <w:r>
        <w:t xml:space="preserve">Ohio v. American Express Co., 585 U.S. 529 (2018).</w:t>
      </w:r>
    </w:p>
    <w:p>
      <w:pPr>
        <w:pStyle w:val="BodyText"/>
      </w:pPr>
      <w:r>
        <w:t xml:space="preserve">Opinion of Advocate General Collins, Case C-264/23,</w:t>
      </w:r>
      <w:r>
        <w:t xml:space="preserve"> </w:t>
      </w:r>
      <w:hyperlink r:id="rId15">
        <w:r>
          <w:rPr>
            <w:rStyle w:val="Hyperlink"/>
          </w:rPr>
          <w:t xml:space="preserve">Booking.com</w:t>
        </w:r>
      </w:hyperlink>
      <w:r>
        <w:t xml:space="preserve"> </w:t>
      </w:r>
      <w:r>
        <w:t xml:space="preserve">BV and</w:t>
      </w:r>
      <w:r>
        <w:t xml:space="preserve"> </w:t>
      </w:r>
      <w:hyperlink r:id="rId15">
        <w:r>
          <w:rPr>
            <w:rStyle w:val="Hyperlink"/>
          </w:rPr>
          <w:t xml:space="preserve">Booking.com</w:t>
        </w:r>
      </w:hyperlink>
      <w:r>
        <w:t xml:space="preserve"> </w:t>
      </w:r>
      <w:r>
        <w:t xml:space="preserve">(Deutschland) GmbH v 25hours Hotel Company Berlin GmbH and Others, ECLI:EU:C:2024:470 (CJEU 6 June 2024). </w:t>
      </w:r>
      <w:hyperlink r:id="rId217">
        <w:r>
          <w:rPr>
            <w:rStyle w:val="Hyperlink"/>
          </w:rPr>
          <w:t xml:space="preserve">https://eur-lex.europa.eu/legal-content/EN/TXT/?uri=CELEX:62023CC0264</w:t>
        </w:r>
      </w:hyperlink>
    </w:p>
    <w:bookmarkEnd w:id="218"/>
    <w:bookmarkStart w:id="219" w:name="additional-reading"/>
    <w:p>
      <w:pPr>
        <w:pStyle w:val="Heading2"/>
      </w:pPr>
      <w:r>
        <w:t xml:space="preserve">Additional Reading</w:t>
      </w:r>
    </w:p>
    <w:p>
      <w:pPr>
        <w:pStyle w:val="FirstParagraph"/>
      </w:pPr>
      <w:r>
        <w:t xml:space="preserve">Benkler, Y. (2006). </w:t>
      </w:r>
      <w:r>
        <w:rPr>
          <w:i/>
          <w:iCs/>
        </w:rPr>
        <w:t xml:space="preserve">The wealth of networks: How social production transforms markets and freedom</w:t>
      </w:r>
      <w:r>
        <w:t xml:space="preserve">. Yale University Press.</w:t>
      </w:r>
    </w:p>
    <w:p>
      <w:pPr>
        <w:pStyle w:val="BodyText"/>
      </w:pPr>
      <w:r>
        <w:t xml:space="preserve">Bratton, B. H. (2015). </w:t>
      </w:r>
      <w:r>
        <w:rPr>
          <w:i/>
          <w:iCs/>
        </w:rPr>
        <w:t xml:space="preserve">The stack: On software and sovereignty</w:t>
      </w:r>
      <w:r>
        <w:t xml:space="preserve">. MIT Press.</w:t>
      </w:r>
    </w:p>
    <w:p>
      <w:pPr>
        <w:pStyle w:val="BodyText"/>
      </w:pPr>
      <w:r>
        <w:t xml:space="preserve">Couldry, N., &amp; Mejias, U. A. (2019). </w:t>
      </w:r>
      <w:r>
        <w:rPr>
          <w:i/>
          <w:iCs/>
        </w:rPr>
        <w:t xml:space="preserve">The costs of connection: How data is colonizing human life and appropriating it for capitalism</w:t>
      </w:r>
      <w:r>
        <w:t xml:space="preserve">. Stanford University Press.</w:t>
      </w:r>
    </w:p>
    <w:p>
      <w:pPr>
        <w:pStyle w:val="BodyText"/>
      </w:pPr>
      <w:r>
        <w:t xml:space="preserve">Crawford, K. (2021). </w:t>
      </w:r>
      <w:r>
        <w:rPr>
          <w:i/>
          <w:iCs/>
        </w:rPr>
        <w:t xml:space="preserve">Atlas of AI: Power, politics, and the planetary costs of artificial intelligence</w:t>
      </w:r>
      <w:r>
        <w:t xml:space="preserve">. Yale University Press.</w:t>
      </w:r>
    </w:p>
    <w:p>
      <w:pPr>
        <w:pStyle w:val="BodyText"/>
      </w:pPr>
      <w:r>
        <w:t xml:space="preserve">Gillespie, T. (2018). </w:t>
      </w:r>
      <w:r>
        <w:rPr>
          <w:i/>
          <w:iCs/>
        </w:rPr>
        <w:t xml:space="preserve">Custodians of the Internet: Platforms, content moderation, and the hidden decisions that shape social media</w:t>
      </w:r>
      <w:r>
        <w:t xml:space="preserve">. Yale University Press.</w:t>
      </w:r>
    </w:p>
    <w:p>
      <w:pPr>
        <w:pStyle w:val="BodyText"/>
      </w:pPr>
      <w:r>
        <w:t xml:space="preserve">Gowder, P. (2023). </w:t>
      </w:r>
      <w:r>
        <w:rPr>
          <w:i/>
          <w:iCs/>
        </w:rPr>
        <w:t xml:space="preserve">The networked Leviathan: For democratic platforms</w:t>
      </w:r>
      <w:r>
        <w:t xml:space="preserve">. Cambridge University Press.</w:t>
      </w:r>
    </w:p>
    <w:p>
      <w:pPr>
        <w:pStyle w:val="BodyText"/>
      </w:pPr>
      <w:r>
        <w:t xml:space="preserve">Krasner, S. D. (1999). </w:t>
      </w:r>
      <w:r>
        <w:rPr>
          <w:i/>
          <w:iCs/>
        </w:rPr>
        <w:t xml:space="preserve">Sovereignty: Organized hypocrisy</w:t>
      </w:r>
      <w:r>
        <w:t xml:space="preserve">. Princeton University Press.</w:t>
      </w:r>
    </w:p>
    <w:p>
      <w:pPr>
        <w:pStyle w:val="BodyText"/>
      </w:pPr>
      <w:r>
        <w:t xml:space="preserve">Lehdonvirta, V. (2022). </w:t>
      </w:r>
      <w:r>
        <w:rPr>
          <w:i/>
          <w:iCs/>
        </w:rPr>
        <w:t xml:space="preserve">Cloud empires: How digital platforms are overtaking the state and how we can regain control</w:t>
      </w:r>
      <w:r>
        <w:t xml:space="preserve">. MIT Press.</w:t>
      </w:r>
    </w:p>
    <w:p>
      <w:pPr>
        <w:pStyle w:val="BodyText"/>
      </w:pPr>
      <w:r>
        <w:t xml:space="preserve">Pasquale, F. (2015). </w:t>
      </w:r>
      <w:r>
        <w:rPr>
          <w:i/>
          <w:iCs/>
        </w:rPr>
        <w:t xml:space="preserve">The black box society: The secret algorithms that control money and information</w:t>
      </w:r>
      <w:r>
        <w:t xml:space="preserve">. Harvard University Press.</w:t>
      </w:r>
    </w:p>
    <w:p>
      <w:pPr>
        <w:pStyle w:val="BodyText"/>
      </w:pPr>
      <w:r>
        <w:t xml:space="preserve">Srnicek, N. (2017). </w:t>
      </w:r>
      <w:r>
        <w:rPr>
          <w:i/>
          <w:iCs/>
        </w:rPr>
        <w:t xml:space="preserve">Platform capitalism</w:t>
      </w:r>
      <w:r>
        <w:t xml:space="preserve">. Polity Press.</w:t>
      </w:r>
    </w:p>
    <w:bookmarkEnd w:id="219"/>
    <w:bookmarkEnd w:id="220"/>
    <w:sectPr>
      <w:headerReference xmlns:r="http://schemas.openxmlformats.org/officeDocument/2006/relationships" r:id="rIdHeaderPage" w:type="default"/>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pPr>
      <w:keepNext/>
      <w:spacing w:after="0" w:before="240" w:line="480" w:lineRule="auto"/>
      <w:jc w:val="center"/>
    </w:pPr>
    <w:rPr>
      <w:rFonts w:ascii="Times New Roman" w:hAnsi="Times New Roman"/>
      <w:b/>
      <w:sz w:val="24"/>
      <w:szCs w:val="24"/>
    </w:rPr>
  </w:style>
  <w:style w:styleId="Heading2" w:type="paragraph">
    <w:name w:val="heading 2"/>
    <w:basedOn w:val="Normal"/>
    <w:pPr>
      <w:keepNext/>
      <w:spacing w:after="0" w:before="240" w:line="480" w:lineRule="auto"/>
    </w:pPr>
    <w:rPr>
      <w:rFonts w:ascii="Times New Roman" w:hAnsi="Times New Roman"/>
      <w:b/>
      <w:sz w:val="24"/>
      <w:szCs w:val="24"/>
    </w:rPr>
  </w:style>
  <w:style w:styleId="Heading3" w:type="paragraph">
    <w:name w:val="heading 3"/>
    <w:basedOn w:val="Normal"/>
    <w:pPr>
      <w:keepNext/>
      <w:spacing w:after="0" w:before="240" w:line="480" w:lineRule="auto"/>
    </w:pPr>
    <w:rPr>
      <w:rFonts w:ascii="Times New Roman" w:hAnsi="Times New Roman"/>
      <w:b/>
      <w:i/>
      <w:sz w:val="24"/>
      <w:szCs w:val="24"/>
    </w:rPr>
  </w:style>
  <w:style w:styleId="Heading4" w:type="paragraph">
    <w:name w:val="heading 4"/>
    <w:basedOn w:val="Normal"/>
    <w:pPr>
      <w:keepNext/>
      <w:spacing w:after="0" w:before="240" w:line="480" w:lineRule="auto"/>
    </w:pPr>
    <w:rPr>
      <w:rFonts w:ascii="Times New Roman" w:hAnsi="Times New Roman"/>
      <w:b/>
      <w:i/>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eaderPage" Target="header1.xml" Type="http://schemas.openxmlformats.org/officeDocument/2006/relationships/header" /><Relationship Type="http://schemas.openxmlformats.org/officeDocument/2006/relationships/hyperlink" Id="rId200" Target="http://Amazon.com" TargetMode="External" /><Relationship Type="http://schemas.openxmlformats.org/officeDocument/2006/relationships/hyperlink" Id="rId15" Target="http://Booking.com" TargetMode="External" /><Relationship Type="http://schemas.openxmlformats.org/officeDocument/2006/relationships/hyperlink" Id="rId203" Target="http://data.europa.eu/eli/dir/2022/2555/oj" TargetMode="External" /><Relationship Type="http://schemas.openxmlformats.org/officeDocument/2006/relationships/hyperlink" Id="rId204" Target="http://data.europa.eu/eli/dir/2024/2831/oj" TargetMode="External" /><Relationship Type="http://schemas.openxmlformats.org/officeDocument/2006/relationships/hyperlink" Id="rId205" Target="http://data.europa.eu/eli/reg/2016/679/oj" TargetMode="External" /><Relationship Type="http://schemas.openxmlformats.org/officeDocument/2006/relationships/hyperlink" Id="rId206" Target="http://data.europa.eu/eli/reg/2019/1150/oj" TargetMode="External" /><Relationship Type="http://schemas.openxmlformats.org/officeDocument/2006/relationships/hyperlink" Id="rId207" Target="http://data.europa.eu/eli/reg/2022/2065/oj" TargetMode="External" /><Relationship Type="http://schemas.openxmlformats.org/officeDocument/2006/relationships/hyperlink" Id="rId208" Target="http://data.europa.eu/eli/reg/2022/868/oj" TargetMode="External" /><Relationship Type="http://schemas.openxmlformats.org/officeDocument/2006/relationships/hyperlink" Id="rId209" Target="http://data.europa.eu/eli/reg/2024/1689/oj" TargetMode="External" /><Relationship Type="http://schemas.openxmlformats.org/officeDocument/2006/relationships/hyperlink" Id="rId216" Target="https://cdn.ca9.uscourts.gov/datastore/opinions/2025/12/11/25-2935.pdf" TargetMode="External" /><Relationship Type="http://schemas.openxmlformats.org/officeDocument/2006/relationships/hyperlink" Id="rId176" Target="https://cepr.org/voxeu/columns/logic-behind-australias-news-media-bargaining-code" TargetMode="External" /><Relationship Type="http://schemas.openxmlformats.org/officeDocument/2006/relationships/hyperlink" Id="rId110" Target="https://columbialawreview.org/content/the-right-to-contest-ai/" TargetMode="External" /><Relationship Type="http://schemas.openxmlformats.org/officeDocument/2006/relationships/hyperlink" Id="rId75" Target="https://competition-policy.ec.europa.eu/document/download/c50b5e61-1ea3-47bc-ac4c-57d35f8f77fa_en?filename=hotel_monitoring_report_en.pdf" TargetMode="External" /><Relationship Type="http://schemas.openxmlformats.org/officeDocument/2006/relationships/hyperlink" Id="rId31" Target="https://developer.apple.com/support/apps-in-the-eu/" TargetMode="External" /><Relationship Type="http://schemas.openxmlformats.org/officeDocument/2006/relationships/hyperlink" Id="rId35" Target="https://doi.org/10.1002/fut.22260" TargetMode="External" /><Relationship Type="http://schemas.openxmlformats.org/officeDocument/2006/relationships/hyperlink" Id="rId163" Target="https://doi.org/10.1002/hrm.70019" TargetMode="External" /><Relationship Type="http://schemas.openxmlformats.org/officeDocument/2006/relationships/hyperlink" Id="rId78" Target="https://doi.org/10.1002/jsc.2657" TargetMode="External" /><Relationship Type="http://schemas.openxmlformats.org/officeDocument/2006/relationships/hyperlink" Id="rId137" Target="https://doi.org/10.1002/poi3.424" TargetMode="External" /><Relationship Type="http://schemas.openxmlformats.org/officeDocument/2006/relationships/hyperlink" Id="rId56" Target="https://doi.org/10.1002/poi3.434" TargetMode="External" /><Relationship Type="http://schemas.openxmlformats.org/officeDocument/2006/relationships/hyperlink" Id="rId157" Target="https://doi.org/10.1002/poi3.437" TargetMode="External" /><Relationship Type="http://schemas.openxmlformats.org/officeDocument/2006/relationships/hyperlink" Id="rId160" Target="https://doi.org/10.1002/poi3.70011" TargetMode="External" /><Relationship Type="http://schemas.openxmlformats.org/officeDocument/2006/relationships/hyperlink" Id="rId36" Target="https://doi.org/10.1002/poi3.70018" TargetMode="External" /><Relationship Type="http://schemas.openxmlformats.org/officeDocument/2006/relationships/hyperlink" Id="rId136" Target="https://doi.org/10.1002/sej.1300" TargetMode="External" /><Relationship Type="http://schemas.openxmlformats.org/officeDocument/2006/relationships/hyperlink" Id="rId108" Target="https://doi.org/10.1002/smj.2904" TargetMode="External" /><Relationship Type="http://schemas.openxmlformats.org/officeDocument/2006/relationships/hyperlink" Id="rId201" Target="https://doi.org/10.1002/smj.2932" TargetMode="External" /><Relationship Type="http://schemas.openxmlformats.org/officeDocument/2006/relationships/hyperlink" Id="rId118" Target="https://doi.org/10.1002/smj.3250" TargetMode="External" /><Relationship Type="http://schemas.openxmlformats.org/officeDocument/2006/relationships/hyperlink" Id="rId116" Target="https://doi.org/10.1002/smj.3259" TargetMode="External" /><Relationship Type="http://schemas.openxmlformats.org/officeDocument/2006/relationships/hyperlink" Id="rId150" Target="https://doi.org/10.1002/smj.580" TargetMode="External" /><Relationship Type="http://schemas.openxmlformats.org/officeDocument/2006/relationships/hyperlink" Id="rId126" Target="https://doi.org/10.1002/smj.70062" TargetMode="External" /><Relationship Type="http://schemas.openxmlformats.org/officeDocument/2006/relationships/hyperlink" Id="rId109" Target="https://doi.org/10.1007/978-3-030-15742-5_55" TargetMode="External" /><Relationship Type="http://schemas.openxmlformats.org/officeDocument/2006/relationships/hyperlink" Id="rId100" Target="https://doi.org/10.1007/978-3-031-69994-8_1" TargetMode="External" /><Relationship Type="http://schemas.openxmlformats.org/officeDocument/2006/relationships/hyperlink" Id="rId26" Target="https://doi.org/10.1007/s11023-022-09611-z" TargetMode="External" /><Relationship Type="http://schemas.openxmlformats.org/officeDocument/2006/relationships/hyperlink" Id="rId170" Target="https://doi.org/10.1007/s11186-020-09408-y" TargetMode="External" /><Relationship Type="http://schemas.openxmlformats.org/officeDocument/2006/relationships/hyperlink" Id="rId51" Target="https://doi.org/10.1007/s11186-020-09411-3" TargetMode="External" /><Relationship Type="http://schemas.openxmlformats.org/officeDocument/2006/relationships/hyperlink" Id="rId79" Target="https://doi.org/10.1007/s13347-020-00423-6" TargetMode="External" /><Relationship Type="http://schemas.openxmlformats.org/officeDocument/2006/relationships/hyperlink" Id="rId139" Target="https://doi.org/10.1007/s40319-025-01625-1" TargetMode="External" /><Relationship Type="http://schemas.openxmlformats.org/officeDocument/2006/relationships/hyperlink" Id="rId82" Target="https://doi.org/10.1007/s44206-024-00146-7" TargetMode="External" /><Relationship Type="http://schemas.openxmlformats.org/officeDocument/2006/relationships/hyperlink" Id="rId117" Target="https://doi.org/10.1016/j.aos.2017.05.002" TargetMode="External" /><Relationship Type="http://schemas.openxmlformats.org/officeDocument/2006/relationships/hyperlink" Id="rId122" Target="https://doi.org/10.1016/j.clsr.2023.105790" TargetMode="External" /><Relationship Type="http://schemas.openxmlformats.org/officeDocument/2006/relationships/hyperlink" Id="rId48" Target="https://doi.org/10.1016/j.clsr.2023.105830" TargetMode="External" /><Relationship Type="http://schemas.openxmlformats.org/officeDocument/2006/relationships/hyperlink" Id="rId129" Target="https://doi.org/10.1016/j.euroecorev.2020.103625" TargetMode="External" /><Relationship Type="http://schemas.openxmlformats.org/officeDocument/2006/relationships/hyperlink" Id="rId181" Target="https://doi.org/10.1016/j.ijhm.2015.09.015" TargetMode="External" /><Relationship Type="http://schemas.openxmlformats.org/officeDocument/2006/relationships/hyperlink" Id="rId195" Target="https://doi.org/10.1016/j.ijindorg.2018.03.006" TargetMode="External" /><Relationship Type="http://schemas.openxmlformats.org/officeDocument/2006/relationships/hyperlink" Id="rId107" Target="https://doi.org/10.1016/j.ijindorg.2018.03.008" TargetMode="External" /><Relationship Type="http://schemas.openxmlformats.org/officeDocument/2006/relationships/hyperlink" Id="rId66" Target="https://doi.org/10.1016/j.respol.2023.104765" TargetMode="External" /><Relationship Type="http://schemas.openxmlformats.org/officeDocument/2006/relationships/hyperlink" Id="rId114" Target="https://doi.org/10.1017/9781108604994.006" TargetMode="External" /><Relationship Type="http://schemas.openxmlformats.org/officeDocument/2006/relationships/hyperlink" Id="rId89" Target="https://doi.org/10.1017/CBO9780511621598" TargetMode="External" /><Relationship Type="http://schemas.openxmlformats.org/officeDocument/2006/relationships/hyperlink" Id="rId145" Target="https://doi.org/10.1017/CBO9780511807763" TargetMode="External" /><Relationship Type="http://schemas.openxmlformats.org/officeDocument/2006/relationships/hyperlink" Id="rId154" Target="https://doi.org/10.1017/CBO9781139017428" TargetMode="External" /><Relationship Type="http://schemas.openxmlformats.org/officeDocument/2006/relationships/hyperlink" Id="rId178" Target="https://doi.org/10.1017/CBO9781139171274" TargetMode="External" /><Relationship Type="http://schemas.openxmlformats.org/officeDocument/2006/relationships/hyperlink" Id="rId146" Target="https://doi.org/10.1017/S0003055422000247" TargetMode="External" /><Relationship Type="http://schemas.openxmlformats.org/officeDocument/2006/relationships/hyperlink" Id="rId90" Target="https://doi.org/10.1017/S0010417500001730" TargetMode="External" /><Relationship Type="http://schemas.openxmlformats.org/officeDocument/2006/relationships/hyperlink" Id="rId142" Target="https://doi.org/10.1017/dap.2024.1" TargetMode="External" /><Relationship Type="http://schemas.openxmlformats.org/officeDocument/2006/relationships/hyperlink" Id="rId173" Target="https://doi.org/10.1037/a0022676" TargetMode="External" /><Relationship Type="http://schemas.openxmlformats.org/officeDocument/2006/relationships/hyperlink" Id="rId81" Target="https://doi.org/10.1080/09614520701469955" TargetMode="External" /><Relationship Type="http://schemas.openxmlformats.org/officeDocument/2006/relationships/hyperlink" Id="rId76" Target="https://doi.org/10.1080/13501763.2024.2358984" TargetMode="External" /><Relationship Type="http://schemas.openxmlformats.org/officeDocument/2006/relationships/hyperlink" Id="rId41" Target="https://doi.org/10.1080/1369118X.2016.1154086" TargetMode="External" /><Relationship Type="http://schemas.openxmlformats.org/officeDocument/2006/relationships/hyperlink" Id="rId92" Target="https://doi.org/10.1080/1369118X.2020.1736124" TargetMode="External" /><Relationship Type="http://schemas.openxmlformats.org/officeDocument/2006/relationships/hyperlink" Id="rId54" Target="https://doi.org/10.1080/1369118X.2021.1994624" TargetMode="External" /><Relationship Type="http://schemas.openxmlformats.org/officeDocument/2006/relationships/hyperlink" Id="rId87" Target="https://doi.org/10.1080/1369118X.2022.2147400" TargetMode="External" /><Relationship Type="http://schemas.openxmlformats.org/officeDocument/2006/relationships/hyperlink" Id="rId140" Target="https://doi.org/10.1080/14649880600815974" TargetMode="External" /><Relationship Type="http://schemas.openxmlformats.org/officeDocument/2006/relationships/hyperlink" Id="rId149" Target="https://doi.org/10.1080/17441056.2025.2511420" TargetMode="External" /><Relationship Type="http://schemas.openxmlformats.org/officeDocument/2006/relationships/hyperlink" Id="rId63" Target="https://doi.org/10.1080/19312458.2021.1968361" TargetMode="External" /><Relationship Type="http://schemas.openxmlformats.org/officeDocument/2006/relationships/hyperlink" Id="rId80" Target="https://doi.org/10.1080/23299460.2024.2414512" TargetMode="External" /><Relationship Type="http://schemas.openxmlformats.org/officeDocument/2006/relationships/hyperlink" Id="rId44" Target="https://doi.org/10.1086/421787" TargetMode="External" /><Relationship Type="http://schemas.openxmlformats.org/officeDocument/2006/relationships/hyperlink" Id="rId69" Target="https://doi.org/10.1086/517897" TargetMode="External" /><Relationship Type="http://schemas.openxmlformats.org/officeDocument/2006/relationships/hyperlink" Id="rId38" Target="https://doi.org/10.1086/686971" TargetMode="External" /><Relationship Type="http://schemas.openxmlformats.org/officeDocument/2006/relationships/hyperlink" Id="rId67" Target="https://doi.org/10.1086/723456" TargetMode="External" /><Relationship Type="http://schemas.openxmlformats.org/officeDocument/2006/relationships/hyperlink" Id="rId138" Target="https://doi.org/10.1093/acprof:oso/9780195147964.001.0001" TargetMode="External" /><Relationship Type="http://schemas.openxmlformats.org/officeDocument/2006/relationships/hyperlink" Id="rId187" Target="https://doi.org/10.1093/acprof:oso/9780198775270.001.0001" TargetMode="External" /><Relationship Type="http://schemas.openxmlformats.org/officeDocument/2006/relationships/hyperlink" Id="rId33" Target="https://doi.org/10.1093/icc/dtm036" TargetMode="External" /><Relationship Type="http://schemas.openxmlformats.org/officeDocument/2006/relationships/hyperlink" Id="rId61" Target="https://doi.org/10.1093/idpl/ipz014" TargetMode="External" /><Relationship Type="http://schemas.openxmlformats.org/officeDocument/2006/relationships/hyperlink" Id="rId151" Target="https://doi.org/10.1093/oso/9780197582794.003.0002" TargetMode="External" /><Relationship Type="http://schemas.openxmlformats.org/officeDocument/2006/relationships/hyperlink" Id="rId112" Target="https://doi.org/10.1093/ser/mwab014" TargetMode="External" /><Relationship Type="http://schemas.openxmlformats.org/officeDocument/2006/relationships/hyperlink" Id="rId172" Target="https://doi.org/10.1093/ser/mwab038" TargetMode="External" /><Relationship Type="http://schemas.openxmlformats.org/officeDocument/2006/relationships/hyperlink" Id="rId34" Target="https://doi.org/10.1108/IJCHM-07-2014-0326" TargetMode="External" /><Relationship Type="http://schemas.openxmlformats.org/officeDocument/2006/relationships/hyperlink" Id="rId199" Target="https://doi.org/10.1111/1744-7941.70004" TargetMode="External" /><Relationship Type="http://schemas.openxmlformats.org/officeDocument/2006/relationships/hyperlink" Id="rId60" Target="https://doi.org/10.1111/1756-2171.12298" TargetMode="External" /><Relationship Type="http://schemas.openxmlformats.org/officeDocument/2006/relationships/hyperlink" Id="rId196" Target="https://doi.org/10.1111/1756-2171.12305" TargetMode="External" /><Relationship Type="http://schemas.openxmlformats.org/officeDocument/2006/relationships/hyperlink" Id="rId124" Target="https://doi.org/10.1111/1756-2171.12346" TargetMode="External" /><Relationship Type="http://schemas.openxmlformats.org/officeDocument/2006/relationships/hyperlink" Id="rId98" Target="https://doi.org/10.1111/1756-2171.12408" TargetMode="External" /><Relationship Type="http://schemas.openxmlformats.org/officeDocument/2006/relationships/hyperlink" Id="rId191" Target="https://doi.org/10.1111/anti.12641" TargetMode="External" /><Relationship Type="http://schemas.openxmlformats.org/officeDocument/2006/relationships/hyperlink" Id="rId88" Target="https://doi.org/10.1111/apce.12478" TargetMode="External" /><Relationship Type="http://schemas.openxmlformats.org/officeDocument/2006/relationships/hyperlink" Id="rId85" Target="https://doi.org/10.1111/ecoj.12506" TargetMode="External" /><Relationship Type="http://schemas.openxmlformats.org/officeDocument/2006/relationships/hyperlink" Id="rId39" Target="https://doi.org/10.1111/eulj.12533" TargetMode="External" /><Relationship Type="http://schemas.openxmlformats.org/officeDocument/2006/relationships/hyperlink" Id="rId192" Target="https://doi.org/10.1111/eulj.70025" TargetMode="External" /><Relationship Type="http://schemas.openxmlformats.org/officeDocument/2006/relationships/hyperlink" Id="rId119" Target="https://doi.org/10.1111/isj.12527" TargetMode="External" /><Relationship Type="http://schemas.openxmlformats.org/officeDocument/2006/relationships/hyperlink" Id="rId125" Target="https://doi.org/10.1111/j.1745-493X.2009.03169.x" TargetMode="External" /><Relationship Type="http://schemas.openxmlformats.org/officeDocument/2006/relationships/hyperlink" Id="rId32" Target="https://doi.org/10.1111/j.1756-2171.2006.tb00037.x" TargetMode="External" /><Relationship Type="http://schemas.openxmlformats.org/officeDocument/2006/relationships/hyperlink" Id="rId95" Target="https://doi.org/10.1111/j.1756-2171.2011.00136.x" TargetMode="External" /><Relationship Type="http://schemas.openxmlformats.org/officeDocument/2006/relationships/hyperlink" Id="rId102" Target="https://doi.org/10.1111/jcms.13488" TargetMode="External" /><Relationship Type="http://schemas.openxmlformats.org/officeDocument/2006/relationships/hyperlink" Id="rId46" Target="https://doi.org/10.1111/jems.12467" TargetMode="External" /><Relationship Type="http://schemas.openxmlformats.org/officeDocument/2006/relationships/hyperlink" Id="rId171" Target="https://doi.org/10.1111/joie.12210" TargetMode="External" /><Relationship Type="http://schemas.openxmlformats.org/officeDocument/2006/relationships/hyperlink" Id="rId197" Target="https://doi.org/10.1111/joie.12329" TargetMode="External" /><Relationship Type="http://schemas.openxmlformats.org/officeDocument/2006/relationships/hyperlink" Id="rId83" Target="https://doi.org/10.1111/jopp.12202" TargetMode="External" /><Relationship Type="http://schemas.openxmlformats.org/officeDocument/2006/relationships/hyperlink" Id="rId49" Target="https://doi.org/10.1111/jtsb.12428" TargetMode="External" /><Relationship Type="http://schemas.openxmlformats.org/officeDocument/2006/relationships/hyperlink" Id="rId128" Target="https://doi.org/10.1111/ntwe.12273" TargetMode="External" /><Relationship Type="http://schemas.openxmlformats.org/officeDocument/2006/relationships/hyperlink" Id="rId103" Target="https://doi.org/10.1111/ntwe.12282" TargetMode="External" /><Relationship Type="http://schemas.openxmlformats.org/officeDocument/2006/relationships/hyperlink" Id="rId121" Target="https://doi.org/10.1111/papa.12279" TargetMode="External" /><Relationship Type="http://schemas.openxmlformats.org/officeDocument/2006/relationships/hyperlink" Id="rId101" Target="https://doi.org/10.1111/papq.12337" TargetMode="External" /><Relationship Type="http://schemas.openxmlformats.org/officeDocument/2006/relationships/hyperlink" Id="rId134" Target="https://doi.org/10.1111/radm.12740" TargetMode="External" /><Relationship Type="http://schemas.openxmlformats.org/officeDocument/2006/relationships/hyperlink" Id="rId68" Target="https://doi.org/10.1145/2858036.2858494" TargetMode="External" /><Relationship Type="http://schemas.openxmlformats.org/officeDocument/2006/relationships/hyperlink" Id="rId189" Target="https://doi.org/10.1145/3415238" TargetMode="External" /><Relationship Type="http://schemas.openxmlformats.org/officeDocument/2006/relationships/hyperlink" Id="rId62" Target="https://doi.org/10.1145/3476080" TargetMode="External" /><Relationship Type="http://schemas.openxmlformats.org/officeDocument/2006/relationships/hyperlink" Id="rId175" Target="https://doi.org/10.1145/3479577" TargetMode="External" /><Relationship Type="http://schemas.openxmlformats.org/officeDocument/2006/relationships/hyperlink" Id="rId45" Target="https://doi.org/10.1145/3570601" TargetMode="External" /><Relationship Type="http://schemas.openxmlformats.org/officeDocument/2006/relationships/hyperlink" Id="rId184" Target="https://doi.org/10.1146/annurev-soc-081309-150054" TargetMode="External" /><Relationship Type="http://schemas.openxmlformats.org/officeDocument/2006/relationships/hyperlink" Id="rId190" Target="https://doi.org/10.1146/annurev-soc-121919-054857" TargetMode="External" /><Relationship Type="http://schemas.openxmlformats.org/officeDocument/2006/relationships/hyperlink" Id="rId164" Target="https://doi.org/10.1162/154247603322493212" TargetMode="External" /><Relationship Type="http://schemas.openxmlformats.org/officeDocument/2006/relationships/hyperlink" Id="rId58" Target="https://doi.org/10.1177/0001839219867024" TargetMode="External" /><Relationship Type="http://schemas.openxmlformats.org/officeDocument/2006/relationships/hyperlink" Id="rId158" Target="https://doi.org/10.1177/00018392211010118" TargetMode="External" /><Relationship Type="http://schemas.openxmlformats.org/officeDocument/2006/relationships/hyperlink" Id="rId123" Target="https://doi.org/10.1177/0003122420979980" TargetMode="External" /><Relationship Type="http://schemas.openxmlformats.org/officeDocument/2006/relationships/hyperlink" Id="rId86" Target="https://doi.org/10.1177/0018726720915761" TargetMode="External" /><Relationship Type="http://schemas.openxmlformats.org/officeDocument/2006/relationships/hyperlink" Id="rId130" Target="https://doi.org/10.1177/0090591707310084" TargetMode="External" /><Relationship Type="http://schemas.openxmlformats.org/officeDocument/2006/relationships/hyperlink" Id="rId198" Target="https://doi.org/10.1177/0950017018785616" TargetMode="External" /><Relationship Type="http://schemas.openxmlformats.org/officeDocument/2006/relationships/hyperlink" Id="rId185" Target="https://doi.org/10.1177/0950017019886511" TargetMode="External" /><Relationship Type="http://schemas.openxmlformats.org/officeDocument/2006/relationships/hyperlink" Id="rId42" Target="https://doi.org/10.1177/10564926231202422" TargetMode="External" /><Relationship Type="http://schemas.openxmlformats.org/officeDocument/2006/relationships/hyperlink" Id="rId25" Target="https://doi.org/10.1177/1350508410376256" TargetMode="External" /><Relationship Type="http://schemas.openxmlformats.org/officeDocument/2006/relationships/hyperlink" Id="rId40" Target="https://doi.org/10.1177/1350508420961531" TargetMode="External" /><Relationship Type="http://schemas.openxmlformats.org/officeDocument/2006/relationships/hyperlink" Id="rId27" Target="https://doi.org/10.1177/1461444816676645" TargetMode="External" /><Relationship Type="http://schemas.openxmlformats.org/officeDocument/2006/relationships/hyperlink" Id="rId148" Target="https://doi.org/10.1177/1461444818799523" TargetMode="External" /><Relationship Type="http://schemas.openxmlformats.org/officeDocument/2006/relationships/hyperlink" Id="rId55" Target="https://doi.org/10.1177/1461444819865984" TargetMode="External" /><Relationship Type="http://schemas.openxmlformats.org/officeDocument/2006/relationships/hyperlink" Id="rId127" Target="https://doi.org/10.1177/14614448211021404" TargetMode="External" /><Relationship Type="http://schemas.openxmlformats.org/officeDocument/2006/relationships/hyperlink" Id="rId167" Target="https://doi.org/10.1177/14614448221100802" TargetMode="External" /><Relationship Type="http://schemas.openxmlformats.org/officeDocument/2006/relationships/hyperlink" Id="rId144" Target="https://doi.org/10.1177/14614448231182662" TargetMode="External" /><Relationship Type="http://schemas.openxmlformats.org/officeDocument/2006/relationships/hyperlink" Id="rId84" Target="https://doi.org/10.1177/14614448241291137" TargetMode="External" /><Relationship Type="http://schemas.openxmlformats.org/officeDocument/2006/relationships/hyperlink" Id="rId52" Target="https://doi.org/10.1177/1474885119851094" TargetMode="External" /><Relationship Type="http://schemas.openxmlformats.org/officeDocument/2006/relationships/hyperlink" Id="rId135" Target="https://doi.org/10.1177/14748851221082078" TargetMode="External" /><Relationship Type="http://schemas.openxmlformats.org/officeDocument/2006/relationships/hyperlink" Id="rId50" Target="https://doi.org/10.1177/14748851241227121" TargetMode="External" /><Relationship Type="http://schemas.openxmlformats.org/officeDocument/2006/relationships/hyperlink" Id="rId99" Target="https://doi.org/10.1177/1476127015624274" TargetMode="External" /><Relationship Type="http://schemas.openxmlformats.org/officeDocument/2006/relationships/hyperlink" Id="rId141" Target="https://doi.org/10.1177/19389655251318185" TargetMode="External" /><Relationship Type="http://schemas.openxmlformats.org/officeDocument/2006/relationships/hyperlink" Id="rId43" Target="https://doi.org/10.1177/2053951715622512" TargetMode="External" /><Relationship Type="http://schemas.openxmlformats.org/officeDocument/2006/relationships/hyperlink" Id="rId131" Target="https://doi.org/10.1177/2053951720948087" TargetMode="External" /><Relationship Type="http://schemas.openxmlformats.org/officeDocument/2006/relationships/hyperlink" Id="rId105" Target="https://doi.org/10.1177/2053951720982012" TargetMode="External" /><Relationship Type="http://schemas.openxmlformats.org/officeDocument/2006/relationships/hyperlink" Id="rId153" Target="https://doi.org/10.1177/2056305119879995" TargetMode="External" /><Relationship Type="http://schemas.openxmlformats.org/officeDocument/2006/relationships/hyperlink" Id="rId37" Target="https://doi.org/10.1177/2056305119897323" TargetMode="External" /><Relationship Type="http://schemas.openxmlformats.org/officeDocument/2006/relationships/hyperlink" Id="rId183" Target="https://doi.org/10.1177/26317877241257213" TargetMode="External" /><Relationship Type="http://schemas.openxmlformats.org/officeDocument/2006/relationships/hyperlink" Id="rId120" Target="https://doi.org/10.1257/jep.24.3.233" TargetMode="External" /><Relationship Type="http://schemas.openxmlformats.org/officeDocument/2006/relationships/hyperlink" Id="rId186" Target="https://doi.org/10.1257/mic.20190307" TargetMode="External" /><Relationship Type="http://schemas.openxmlformats.org/officeDocument/2006/relationships/hyperlink" Id="rId77" Target="https://doi.org/10.1257/pandp.20231068" TargetMode="External" /><Relationship Type="http://schemas.openxmlformats.org/officeDocument/2006/relationships/hyperlink" Id="rId106" Target="https://doi.org/10.1287/mksc.2019.1167" TargetMode="External" /><Relationship Type="http://schemas.openxmlformats.org/officeDocument/2006/relationships/hyperlink" Id="rId165" Target="https://doi.org/10.1287/mnsc.1060.0675" TargetMode="External" /><Relationship Type="http://schemas.openxmlformats.org/officeDocument/2006/relationships/hyperlink" Id="rId96" Target="https://doi.org/10.1287/mnsc.2014.2042" TargetMode="External" /><Relationship Type="http://schemas.openxmlformats.org/officeDocument/2006/relationships/hyperlink" Id="rId94" Target="https://doi.org/10.1287/mnsc.2020.3583" TargetMode="External" /><Relationship Type="http://schemas.openxmlformats.org/officeDocument/2006/relationships/hyperlink" Id="rId93" Target="https://doi.org/10.1287/mnsc.2021.02736" TargetMode="External" /><Relationship Type="http://schemas.openxmlformats.org/officeDocument/2006/relationships/hyperlink" Id="rId97" Target="https://doi.org/10.1287/mnsc.2023.4757" TargetMode="External" /><Relationship Type="http://schemas.openxmlformats.org/officeDocument/2006/relationships/hyperlink" Id="rId174" Target="https://doi.org/10.1287/opre.2025.2046" TargetMode="External" /><Relationship Type="http://schemas.openxmlformats.org/officeDocument/2006/relationships/hyperlink" Id="rId24" Target="https://doi.org/10.1287/orsc.12.2.215.10117" TargetMode="External" /><Relationship Type="http://schemas.openxmlformats.org/officeDocument/2006/relationships/hyperlink" Id="rId161" Target="https://doi.org/10.1287/orsc.2019.1290" TargetMode="External" /><Relationship Type="http://schemas.openxmlformats.org/officeDocument/2006/relationships/hyperlink" Id="rId194" Target="https://doi.org/10.1287/orsc.2021.1544" TargetMode="External" /><Relationship Type="http://schemas.openxmlformats.org/officeDocument/2006/relationships/hyperlink" Id="rId47" Target="https://doi.org/10.1287/orsc.2021.1557" TargetMode="External" /><Relationship Type="http://schemas.openxmlformats.org/officeDocument/2006/relationships/hyperlink" Id="rId166" Target="https://doi.org/10.14763/2020.2.1479" TargetMode="External" /><Relationship Type="http://schemas.openxmlformats.org/officeDocument/2006/relationships/hyperlink" Id="rId156" Target="https://doi.org/10.14763/2020.4.1532" TargetMode="External" /><Relationship Type="http://schemas.openxmlformats.org/officeDocument/2006/relationships/hyperlink" Id="rId162" Target="https://doi.org/10.14763/2021.3.1575" TargetMode="External" /><Relationship Type="http://schemas.openxmlformats.org/officeDocument/2006/relationships/hyperlink" Id="rId188" Target="https://doi.org/10.14763/2026.1.2063" TargetMode="External" /><Relationship Type="http://schemas.openxmlformats.org/officeDocument/2006/relationships/hyperlink" Id="rId147" Target="https://doi.org/10.1515/9780691261775" TargetMode="External" /><Relationship Type="http://schemas.openxmlformats.org/officeDocument/2006/relationships/hyperlink" Id="rId30" Target="https://doi.org/10.1515/9781400887781" TargetMode="External" /><Relationship Type="http://schemas.openxmlformats.org/officeDocument/2006/relationships/hyperlink" Id="rId133" Target="https://doi.org/10.17705/1jais.00774" TargetMode="External" /><Relationship Type="http://schemas.openxmlformats.org/officeDocument/2006/relationships/hyperlink" Id="rId155" Target="https://doi.org/10.21248/gjn.9.1.101" TargetMode="External" /><Relationship Type="http://schemas.openxmlformats.org/officeDocument/2006/relationships/hyperlink" Id="rId143" Target="https://doi.org/10.2189/asqu.2005.50.1.100" TargetMode="External" /><Relationship Type="http://schemas.openxmlformats.org/officeDocument/2006/relationships/hyperlink" Id="rId91" Target="https://doi.org/10.2307/270949" TargetMode="External" /><Relationship Type="http://schemas.openxmlformats.org/officeDocument/2006/relationships/hyperlink" Id="rId169" Target="https://doi.org/10.2307/3146375" TargetMode="External" /><Relationship Type="http://schemas.openxmlformats.org/officeDocument/2006/relationships/hyperlink" Id="rId132" Target="https://doi.org/10.25300/MISQ/2021/15333" TargetMode="External" /><Relationship Type="http://schemas.openxmlformats.org/officeDocument/2006/relationships/hyperlink" Id="rId104" Target="https://doi.org/10.4337/9781849808774" TargetMode="External" /><Relationship Type="http://schemas.openxmlformats.org/officeDocument/2006/relationships/hyperlink" Id="rId180" Target="https://doi.org/10.5210/fm.v26i5.11693" TargetMode="External" /><Relationship Type="http://schemas.openxmlformats.org/officeDocument/2006/relationships/hyperlink" Id="rId177" Target="https://doi.org/10.5210/fm.v26i5.11698" TargetMode="External" /><Relationship Type="http://schemas.openxmlformats.org/officeDocument/2006/relationships/hyperlink" Id="rId179" Target="https://doi.org/10.5465/256865" TargetMode="External" /><Relationship Type="http://schemas.openxmlformats.org/officeDocument/2006/relationships/hyperlink" Id="rId59" Target="https://doi.org/10.5465/amp.2019.0103" TargetMode="External" /><Relationship Type="http://schemas.openxmlformats.org/officeDocument/2006/relationships/hyperlink" Id="rId111" Target="https://doi.org/10.5465/annals.2018.0174" TargetMode="External" /><Relationship Type="http://schemas.openxmlformats.org/officeDocument/2006/relationships/hyperlink" Id="rId159" Target="https://doi.org/10.5465/annals.2022.0090" TargetMode="External" /><Relationship Type="http://schemas.openxmlformats.org/officeDocument/2006/relationships/hyperlink" Id="rId182" Target="https://doi.org/10.6092/issn.1971-8853/12221" TargetMode="External" /><Relationship Type="http://schemas.openxmlformats.org/officeDocument/2006/relationships/hyperlink" Id="rId65" Target="https://dsa-observatory.eu/2026/06/08/state-of-play-of-dsa-dispute-settlement-meaningful-redress-uneven-results/" TargetMode="External" /><Relationship Type="http://schemas.openxmlformats.org/officeDocument/2006/relationships/hyperlink" Id="rId70" Target="https://ec.europa.eu/commission/presscorner/detail/en/ip_22_7777" TargetMode="External" /><Relationship Type="http://schemas.openxmlformats.org/officeDocument/2006/relationships/hyperlink" Id="rId72" Target="https://ec.europa.eu/commission/presscorner/detail/en/ip_24_2561" TargetMode="External" /><Relationship Type="http://schemas.openxmlformats.org/officeDocument/2006/relationships/hyperlink" Id="rId29" Target="https://ecommons.cornell.edu/items/9923ee6a-ac32-48d3-a73e-0fbf26c32137" TargetMode="External" /><Relationship Type="http://schemas.openxmlformats.org/officeDocument/2006/relationships/hyperlink" Id="rId28" Target="https://ecommons.cornell.edu/items/c9ddec73-3e3a-443b-97be-9467eebb3bcd" TargetMode="External" /><Relationship Type="http://schemas.openxmlformats.org/officeDocument/2006/relationships/hyperlink" Id="rId210" Target="https://eur-lex.europa.eu/eli/reg/2026/1744/oj" TargetMode="External" /><Relationship Type="http://schemas.openxmlformats.org/officeDocument/2006/relationships/hyperlink" Id="rId71" Target="https://eur-lex.europa.eu/legal-content/EN/TXT/?uri=CELEX:52023DC0525" TargetMode="External" /><Relationship Type="http://schemas.openxmlformats.org/officeDocument/2006/relationships/hyperlink" Id="rId73" Target="https://eur-lex.europa.eu/legal-content/EN/TXT/?uri=CELEX:52025PC0837" TargetMode="External" /><Relationship Type="http://schemas.openxmlformats.org/officeDocument/2006/relationships/hyperlink" Id="rId74" Target="https://eur-lex.europa.eu/legal-content/EN/TXT/?uri=CELEX:52026DC0178" TargetMode="External" /><Relationship Type="http://schemas.openxmlformats.org/officeDocument/2006/relationships/hyperlink" Id="rId212" Target="https://eur-lex.europa.eu/legal-content/EN/TXT/?uri=CELEX:62021CJ0634" TargetMode="External" /><Relationship Type="http://schemas.openxmlformats.org/officeDocument/2006/relationships/hyperlink" Id="rId217" Target="https://eur-lex.europa.eu/legal-content/EN/TXT/?uri=CELEX:62023CC0264" TargetMode="External" /><Relationship Type="http://schemas.openxmlformats.org/officeDocument/2006/relationships/hyperlink" Id="rId213" Target="https://eur-lex.europa.eu/legal-content/EN/TXT/?uri=OJ:C_202505215" TargetMode="External" /><Relationship Type="http://schemas.openxmlformats.org/officeDocument/2006/relationships/hyperlink" Id="rId115" Target="https://ijoc.org/index.php/ijoc/article/view/7864" TargetMode="External" /><Relationship Type="http://schemas.openxmlformats.org/officeDocument/2006/relationships/hyperlink" Id="rId57" Target="https://ilr.law.uiowa.edu/sites/ilr.law.uiowa.edu/files/2023-02/ILR-101-2-Crane.pdf" TargetMode="External" /><Relationship Type="http://schemas.openxmlformats.org/officeDocument/2006/relationships/hyperlink" Id="rId53" Target="https://lawreview.law.ucdavis.edu/archives/51/1/law-platform-economy" TargetMode="External" /><Relationship Type="http://schemas.openxmlformats.org/officeDocument/2006/relationships/hyperlink" Id="rId64" Target="https://scholarship.law.unc.edu/ncjolt/vol21/iss1/2/" TargetMode="External" /><Relationship Type="http://schemas.openxmlformats.org/officeDocument/2006/relationships/hyperlink" Id="rId214" Target="https://uitspraken.rechtspraak.nl/details?id=ECLI:NL:GHAMS:2023:793" TargetMode="External" /><Relationship Type="http://schemas.openxmlformats.org/officeDocument/2006/relationships/hyperlink" Id="rId215" Target="https://uitspraken.rechtspraak.nl/details?id=ECLI:NL:GHAMS:2023:796" TargetMode="External" /><Relationship Type="http://schemas.openxmlformats.org/officeDocument/2006/relationships/hyperlink" Id="rId168" Target="https://www.hotrec.eu/media/static/files/import/all_news_2024_2024_21/hotrec-distribution-study-2024.pdf" TargetMode="External" /><Relationship Type="http://schemas.openxmlformats.org/officeDocument/2006/relationships/hyperlink" Id="rId152" Target="https://www.uclalawreview.org/antitrust-as-allocator-of-coordination-rights/" TargetMode="External" /><Relationship Type="http://schemas.openxmlformats.org/officeDocument/2006/relationships/hyperlink" Id="rId193" Target="https://www.yalelawjournal.org/article/a-relational-theory-of-data-governance" TargetMode="External" /><Relationship Type="http://schemas.openxmlformats.org/officeDocument/2006/relationships/hyperlink" Id="rId113" Target="https://www.yalelawjournal.org/note/amazons-antitrust-paradox" TargetMode="External" /></Relationships>
</file>

<file path=word/_rels/footnotes.xml.rels><?xml version="1.0" encoding="UTF-8"?><Relationships xmlns="http://schemas.openxmlformats.org/package/2006/relationships"><Relationship Type="http://schemas.openxmlformats.org/officeDocument/2006/relationships/hyperlink" Id="rId200" Target="http://Amazon.com" TargetMode="External" /><Relationship Type="http://schemas.openxmlformats.org/officeDocument/2006/relationships/hyperlink" Id="rId15" Target="http://Booking.com" TargetMode="External" /><Relationship Type="http://schemas.openxmlformats.org/officeDocument/2006/relationships/hyperlink" Id="rId203" Target="http://data.europa.eu/eli/dir/2022/2555/oj" TargetMode="External" /><Relationship Type="http://schemas.openxmlformats.org/officeDocument/2006/relationships/hyperlink" Id="rId204" Target="http://data.europa.eu/eli/dir/2024/2831/oj" TargetMode="External" /><Relationship Type="http://schemas.openxmlformats.org/officeDocument/2006/relationships/hyperlink" Id="rId205" Target="http://data.europa.eu/eli/reg/2016/679/oj" TargetMode="External" /><Relationship Type="http://schemas.openxmlformats.org/officeDocument/2006/relationships/hyperlink" Id="rId206" Target="http://data.europa.eu/eli/reg/2019/1150/oj" TargetMode="External" /><Relationship Type="http://schemas.openxmlformats.org/officeDocument/2006/relationships/hyperlink" Id="rId207" Target="http://data.europa.eu/eli/reg/2022/2065/oj" TargetMode="External" /><Relationship Type="http://schemas.openxmlformats.org/officeDocument/2006/relationships/hyperlink" Id="rId208" Target="http://data.europa.eu/eli/reg/2022/868/oj" TargetMode="External" /><Relationship Type="http://schemas.openxmlformats.org/officeDocument/2006/relationships/hyperlink" Id="rId209" Target="http://data.europa.eu/eli/reg/2024/1689/oj" TargetMode="External" /><Relationship Type="http://schemas.openxmlformats.org/officeDocument/2006/relationships/hyperlink" Id="rId216" Target="https://cdn.ca9.uscourts.gov/datastore/opinions/2025/12/11/25-2935.pdf" TargetMode="External" /><Relationship Type="http://schemas.openxmlformats.org/officeDocument/2006/relationships/hyperlink" Id="rId176" Target="https://cepr.org/voxeu/columns/logic-behind-australias-news-media-bargaining-code" TargetMode="External" /><Relationship Type="http://schemas.openxmlformats.org/officeDocument/2006/relationships/hyperlink" Id="rId110" Target="https://columbialawreview.org/content/the-right-to-contest-ai/" TargetMode="External" /><Relationship Type="http://schemas.openxmlformats.org/officeDocument/2006/relationships/hyperlink" Id="rId75" Target="https://competition-policy.ec.europa.eu/document/download/c50b5e61-1ea3-47bc-ac4c-57d35f8f77fa_en?filename=hotel_monitoring_report_en.pdf" TargetMode="External" /><Relationship Type="http://schemas.openxmlformats.org/officeDocument/2006/relationships/hyperlink" Id="rId31" Target="https://developer.apple.com/support/apps-in-the-eu/" TargetMode="External" /><Relationship Type="http://schemas.openxmlformats.org/officeDocument/2006/relationships/hyperlink" Id="rId35" Target="https://doi.org/10.1002/fut.22260" TargetMode="External" /><Relationship Type="http://schemas.openxmlformats.org/officeDocument/2006/relationships/hyperlink" Id="rId163" Target="https://doi.org/10.1002/hrm.70019" TargetMode="External" /><Relationship Type="http://schemas.openxmlformats.org/officeDocument/2006/relationships/hyperlink" Id="rId78" Target="https://doi.org/10.1002/jsc.2657" TargetMode="External" /><Relationship Type="http://schemas.openxmlformats.org/officeDocument/2006/relationships/hyperlink" Id="rId137" Target="https://doi.org/10.1002/poi3.424" TargetMode="External" /><Relationship Type="http://schemas.openxmlformats.org/officeDocument/2006/relationships/hyperlink" Id="rId56" Target="https://doi.org/10.1002/poi3.434" TargetMode="External" /><Relationship Type="http://schemas.openxmlformats.org/officeDocument/2006/relationships/hyperlink" Id="rId157" Target="https://doi.org/10.1002/poi3.437" TargetMode="External" /><Relationship Type="http://schemas.openxmlformats.org/officeDocument/2006/relationships/hyperlink" Id="rId160" Target="https://doi.org/10.1002/poi3.70011" TargetMode="External" /><Relationship Type="http://schemas.openxmlformats.org/officeDocument/2006/relationships/hyperlink" Id="rId36" Target="https://doi.org/10.1002/poi3.70018" TargetMode="External" /><Relationship Type="http://schemas.openxmlformats.org/officeDocument/2006/relationships/hyperlink" Id="rId136" Target="https://doi.org/10.1002/sej.1300" TargetMode="External" /><Relationship Type="http://schemas.openxmlformats.org/officeDocument/2006/relationships/hyperlink" Id="rId108" Target="https://doi.org/10.1002/smj.2904" TargetMode="External" /><Relationship Type="http://schemas.openxmlformats.org/officeDocument/2006/relationships/hyperlink" Id="rId201" Target="https://doi.org/10.1002/smj.2932" TargetMode="External" /><Relationship Type="http://schemas.openxmlformats.org/officeDocument/2006/relationships/hyperlink" Id="rId118" Target="https://doi.org/10.1002/smj.3250" TargetMode="External" /><Relationship Type="http://schemas.openxmlformats.org/officeDocument/2006/relationships/hyperlink" Id="rId116" Target="https://doi.org/10.1002/smj.3259" TargetMode="External" /><Relationship Type="http://schemas.openxmlformats.org/officeDocument/2006/relationships/hyperlink" Id="rId150" Target="https://doi.org/10.1002/smj.580" TargetMode="External" /><Relationship Type="http://schemas.openxmlformats.org/officeDocument/2006/relationships/hyperlink" Id="rId126" Target="https://doi.org/10.1002/smj.70062" TargetMode="External" /><Relationship Type="http://schemas.openxmlformats.org/officeDocument/2006/relationships/hyperlink" Id="rId109" Target="https://doi.org/10.1007/978-3-030-15742-5_55" TargetMode="External" /><Relationship Type="http://schemas.openxmlformats.org/officeDocument/2006/relationships/hyperlink" Id="rId100" Target="https://doi.org/10.1007/978-3-031-69994-8_1" TargetMode="External" /><Relationship Type="http://schemas.openxmlformats.org/officeDocument/2006/relationships/hyperlink" Id="rId26" Target="https://doi.org/10.1007/s11023-022-09611-z" TargetMode="External" /><Relationship Type="http://schemas.openxmlformats.org/officeDocument/2006/relationships/hyperlink" Id="rId170" Target="https://doi.org/10.1007/s11186-020-09408-y" TargetMode="External" /><Relationship Type="http://schemas.openxmlformats.org/officeDocument/2006/relationships/hyperlink" Id="rId51" Target="https://doi.org/10.1007/s11186-020-09411-3" TargetMode="External" /><Relationship Type="http://schemas.openxmlformats.org/officeDocument/2006/relationships/hyperlink" Id="rId79" Target="https://doi.org/10.1007/s13347-020-00423-6" TargetMode="External" /><Relationship Type="http://schemas.openxmlformats.org/officeDocument/2006/relationships/hyperlink" Id="rId139" Target="https://doi.org/10.1007/s40319-025-01625-1" TargetMode="External" /><Relationship Type="http://schemas.openxmlformats.org/officeDocument/2006/relationships/hyperlink" Id="rId82" Target="https://doi.org/10.1007/s44206-024-00146-7" TargetMode="External" /><Relationship Type="http://schemas.openxmlformats.org/officeDocument/2006/relationships/hyperlink" Id="rId117" Target="https://doi.org/10.1016/j.aos.2017.05.002" TargetMode="External" /><Relationship Type="http://schemas.openxmlformats.org/officeDocument/2006/relationships/hyperlink" Id="rId122" Target="https://doi.org/10.1016/j.clsr.2023.105790" TargetMode="External" /><Relationship Type="http://schemas.openxmlformats.org/officeDocument/2006/relationships/hyperlink" Id="rId48" Target="https://doi.org/10.1016/j.clsr.2023.105830" TargetMode="External" /><Relationship Type="http://schemas.openxmlformats.org/officeDocument/2006/relationships/hyperlink" Id="rId129" Target="https://doi.org/10.1016/j.euroecorev.2020.103625" TargetMode="External" /><Relationship Type="http://schemas.openxmlformats.org/officeDocument/2006/relationships/hyperlink" Id="rId181" Target="https://doi.org/10.1016/j.ijhm.2015.09.015" TargetMode="External" /><Relationship Type="http://schemas.openxmlformats.org/officeDocument/2006/relationships/hyperlink" Id="rId195" Target="https://doi.org/10.1016/j.ijindorg.2018.03.006" TargetMode="External" /><Relationship Type="http://schemas.openxmlformats.org/officeDocument/2006/relationships/hyperlink" Id="rId107" Target="https://doi.org/10.1016/j.ijindorg.2018.03.008" TargetMode="External" /><Relationship Type="http://schemas.openxmlformats.org/officeDocument/2006/relationships/hyperlink" Id="rId66" Target="https://doi.org/10.1016/j.respol.2023.104765" TargetMode="External" /><Relationship Type="http://schemas.openxmlformats.org/officeDocument/2006/relationships/hyperlink" Id="rId114" Target="https://doi.org/10.1017/9781108604994.006" TargetMode="External" /><Relationship Type="http://schemas.openxmlformats.org/officeDocument/2006/relationships/hyperlink" Id="rId89" Target="https://doi.org/10.1017/CBO9780511621598" TargetMode="External" /><Relationship Type="http://schemas.openxmlformats.org/officeDocument/2006/relationships/hyperlink" Id="rId145" Target="https://doi.org/10.1017/CBO9780511807763" TargetMode="External" /><Relationship Type="http://schemas.openxmlformats.org/officeDocument/2006/relationships/hyperlink" Id="rId154" Target="https://doi.org/10.1017/CBO9781139017428" TargetMode="External" /><Relationship Type="http://schemas.openxmlformats.org/officeDocument/2006/relationships/hyperlink" Id="rId178" Target="https://doi.org/10.1017/CBO9781139171274" TargetMode="External" /><Relationship Type="http://schemas.openxmlformats.org/officeDocument/2006/relationships/hyperlink" Id="rId146" Target="https://doi.org/10.1017/S0003055422000247" TargetMode="External" /><Relationship Type="http://schemas.openxmlformats.org/officeDocument/2006/relationships/hyperlink" Id="rId90" Target="https://doi.org/10.1017/S0010417500001730" TargetMode="External" /><Relationship Type="http://schemas.openxmlformats.org/officeDocument/2006/relationships/hyperlink" Id="rId142" Target="https://doi.org/10.1017/dap.2024.1" TargetMode="External" /><Relationship Type="http://schemas.openxmlformats.org/officeDocument/2006/relationships/hyperlink" Id="rId173" Target="https://doi.org/10.1037/a0022676" TargetMode="External" /><Relationship Type="http://schemas.openxmlformats.org/officeDocument/2006/relationships/hyperlink" Id="rId81" Target="https://doi.org/10.1080/09614520701469955" TargetMode="External" /><Relationship Type="http://schemas.openxmlformats.org/officeDocument/2006/relationships/hyperlink" Id="rId76" Target="https://doi.org/10.1080/13501763.2024.2358984" TargetMode="External" /><Relationship Type="http://schemas.openxmlformats.org/officeDocument/2006/relationships/hyperlink" Id="rId41" Target="https://doi.org/10.1080/1369118X.2016.1154086" TargetMode="External" /><Relationship Type="http://schemas.openxmlformats.org/officeDocument/2006/relationships/hyperlink" Id="rId92" Target="https://doi.org/10.1080/1369118X.2020.1736124" TargetMode="External" /><Relationship Type="http://schemas.openxmlformats.org/officeDocument/2006/relationships/hyperlink" Id="rId54" Target="https://doi.org/10.1080/1369118X.2021.1994624" TargetMode="External" /><Relationship Type="http://schemas.openxmlformats.org/officeDocument/2006/relationships/hyperlink" Id="rId87" Target="https://doi.org/10.1080/1369118X.2022.2147400" TargetMode="External" /><Relationship Type="http://schemas.openxmlformats.org/officeDocument/2006/relationships/hyperlink" Id="rId140" Target="https://doi.org/10.1080/14649880600815974" TargetMode="External" /><Relationship Type="http://schemas.openxmlformats.org/officeDocument/2006/relationships/hyperlink" Id="rId149" Target="https://doi.org/10.1080/17441056.2025.2511420" TargetMode="External" /><Relationship Type="http://schemas.openxmlformats.org/officeDocument/2006/relationships/hyperlink" Id="rId63" Target="https://doi.org/10.1080/19312458.2021.1968361" TargetMode="External" /><Relationship Type="http://schemas.openxmlformats.org/officeDocument/2006/relationships/hyperlink" Id="rId80" Target="https://doi.org/10.1080/23299460.2024.2414512" TargetMode="External" /><Relationship Type="http://schemas.openxmlformats.org/officeDocument/2006/relationships/hyperlink" Id="rId44" Target="https://doi.org/10.1086/421787" TargetMode="External" /><Relationship Type="http://schemas.openxmlformats.org/officeDocument/2006/relationships/hyperlink" Id="rId69" Target="https://doi.org/10.1086/517897" TargetMode="External" /><Relationship Type="http://schemas.openxmlformats.org/officeDocument/2006/relationships/hyperlink" Id="rId38" Target="https://doi.org/10.1086/686971" TargetMode="External" /><Relationship Type="http://schemas.openxmlformats.org/officeDocument/2006/relationships/hyperlink" Id="rId67" Target="https://doi.org/10.1086/723456" TargetMode="External" /><Relationship Type="http://schemas.openxmlformats.org/officeDocument/2006/relationships/hyperlink" Id="rId138" Target="https://doi.org/10.1093/acprof:oso/9780195147964.001.0001" TargetMode="External" /><Relationship Type="http://schemas.openxmlformats.org/officeDocument/2006/relationships/hyperlink" Id="rId187" Target="https://doi.org/10.1093/acprof:oso/9780198775270.001.0001" TargetMode="External" /><Relationship Type="http://schemas.openxmlformats.org/officeDocument/2006/relationships/hyperlink" Id="rId33" Target="https://doi.org/10.1093/icc/dtm036" TargetMode="External" /><Relationship Type="http://schemas.openxmlformats.org/officeDocument/2006/relationships/hyperlink" Id="rId61" Target="https://doi.org/10.1093/idpl/ipz014" TargetMode="External" /><Relationship Type="http://schemas.openxmlformats.org/officeDocument/2006/relationships/hyperlink" Id="rId151" Target="https://doi.org/10.1093/oso/9780197582794.003.0002" TargetMode="External" /><Relationship Type="http://schemas.openxmlformats.org/officeDocument/2006/relationships/hyperlink" Id="rId112" Target="https://doi.org/10.1093/ser/mwab014" TargetMode="External" /><Relationship Type="http://schemas.openxmlformats.org/officeDocument/2006/relationships/hyperlink" Id="rId172" Target="https://doi.org/10.1093/ser/mwab038" TargetMode="External" /><Relationship Type="http://schemas.openxmlformats.org/officeDocument/2006/relationships/hyperlink" Id="rId34" Target="https://doi.org/10.1108/IJCHM-07-2014-0326" TargetMode="External" /><Relationship Type="http://schemas.openxmlformats.org/officeDocument/2006/relationships/hyperlink" Id="rId199" Target="https://doi.org/10.1111/1744-7941.70004" TargetMode="External" /><Relationship Type="http://schemas.openxmlformats.org/officeDocument/2006/relationships/hyperlink" Id="rId60" Target="https://doi.org/10.1111/1756-2171.12298" TargetMode="External" /><Relationship Type="http://schemas.openxmlformats.org/officeDocument/2006/relationships/hyperlink" Id="rId196" Target="https://doi.org/10.1111/1756-2171.12305" TargetMode="External" /><Relationship Type="http://schemas.openxmlformats.org/officeDocument/2006/relationships/hyperlink" Id="rId124" Target="https://doi.org/10.1111/1756-2171.12346" TargetMode="External" /><Relationship Type="http://schemas.openxmlformats.org/officeDocument/2006/relationships/hyperlink" Id="rId98" Target="https://doi.org/10.1111/1756-2171.12408" TargetMode="External" /><Relationship Type="http://schemas.openxmlformats.org/officeDocument/2006/relationships/hyperlink" Id="rId191" Target="https://doi.org/10.1111/anti.12641" TargetMode="External" /><Relationship Type="http://schemas.openxmlformats.org/officeDocument/2006/relationships/hyperlink" Id="rId88" Target="https://doi.org/10.1111/apce.12478" TargetMode="External" /><Relationship Type="http://schemas.openxmlformats.org/officeDocument/2006/relationships/hyperlink" Id="rId85" Target="https://doi.org/10.1111/ecoj.12506" TargetMode="External" /><Relationship Type="http://schemas.openxmlformats.org/officeDocument/2006/relationships/hyperlink" Id="rId39" Target="https://doi.org/10.1111/eulj.12533" TargetMode="External" /><Relationship Type="http://schemas.openxmlformats.org/officeDocument/2006/relationships/hyperlink" Id="rId192" Target="https://doi.org/10.1111/eulj.70025" TargetMode="External" /><Relationship Type="http://schemas.openxmlformats.org/officeDocument/2006/relationships/hyperlink" Id="rId119" Target="https://doi.org/10.1111/isj.12527" TargetMode="External" /><Relationship Type="http://schemas.openxmlformats.org/officeDocument/2006/relationships/hyperlink" Id="rId125" Target="https://doi.org/10.1111/j.1745-493X.2009.03169.x" TargetMode="External" /><Relationship Type="http://schemas.openxmlformats.org/officeDocument/2006/relationships/hyperlink" Id="rId32" Target="https://doi.org/10.1111/j.1756-2171.2006.tb00037.x" TargetMode="External" /><Relationship Type="http://schemas.openxmlformats.org/officeDocument/2006/relationships/hyperlink" Id="rId95" Target="https://doi.org/10.1111/j.1756-2171.2011.00136.x" TargetMode="External" /><Relationship Type="http://schemas.openxmlformats.org/officeDocument/2006/relationships/hyperlink" Id="rId102" Target="https://doi.org/10.1111/jcms.13488" TargetMode="External" /><Relationship Type="http://schemas.openxmlformats.org/officeDocument/2006/relationships/hyperlink" Id="rId46" Target="https://doi.org/10.1111/jems.12467" TargetMode="External" /><Relationship Type="http://schemas.openxmlformats.org/officeDocument/2006/relationships/hyperlink" Id="rId171" Target="https://doi.org/10.1111/joie.12210" TargetMode="External" /><Relationship Type="http://schemas.openxmlformats.org/officeDocument/2006/relationships/hyperlink" Id="rId197" Target="https://doi.org/10.1111/joie.12329" TargetMode="External" /><Relationship Type="http://schemas.openxmlformats.org/officeDocument/2006/relationships/hyperlink" Id="rId83" Target="https://doi.org/10.1111/jopp.12202" TargetMode="External" /><Relationship Type="http://schemas.openxmlformats.org/officeDocument/2006/relationships/hyperlink" Id="rId49" Target="https://doi.org/10.1111/jtsb.12428" TargetMode="External" /><Relationship Type="http://schemas.openxmlformats.org/officeDocument/2006/relationships/hyperlink" Id="rId128" Target="https://doi.org/10.1111/ntwe.12273" TargetMode="External" /><Relationship Type="http://schemas.openxmlformats.org/officeDocument/2006/relationships/hyperlink" Id="rId103" Target="https://doi.org/10.1111/ntwe.12282" TargetMode="External" /><Relationship Type="http://schemas.openxmlformats.org/officeDocument/2006/relationships/hyperlink" Id="rId121" Target="https://doi.org/10.1111/papa.12279" TargetMode="External" /><Relationship Type="http://schemas.openxmlformats.org/officeDocument/2006/relationships/hyperlink" Id="rId101" Target="https://doi.org/10.1111/papq.12337" TargetMode="External" /><Relationship Type="http://schemas.openxmlformats.org/officeDocument/2006/relationships/hyperlink" Id="rId134" Target="https://doi.org/10.1111/radm.12740" TargetMode="External" /><Relationship Type="http://schemas.openxmlformats.org/officeDocument/2006/relationships/hyperlink" Id="rId68" Target="https://doi.org/10.1145/2858036.2858494" TargetMode="External" /><Relationship Type="http://schemas.openxmlformats.org/officeDocument/2006/relationships/hyperlink" Id="rId189" Target="https://doi.org/10.1145/3415238" TargetMode="External" /><Relationship Type="http://schemas.openxmlformats.org/officeDocument/2006/relationships/hyperlink" Id="rId62" Target="https://doi.org/10.1145/3476080" TargetMode="External" /><Relationship Type="http://schemas.openxmlformats.org/officeDocument/2006/relationships/hyperlink" Id="rId175" Target="https://doi.org/10.1145/3479577" TargetMode="External" /><Relationship Type="http://schemas.openxmlformats.org/officeDocument/2006/relationships/hyperlink" Id="rId45" Target="https://doi.org/10.1145/3570601" TargetMode="External" /><Relationship Type="http://schemas.openxmlformats.org/officeDocument/2006/relationships/hyperlink" Id="rId184" Target="https://doi.org/10.1146/annurev-soc-081309-150054" TargetMode="External" /><Relationship Type="http://schemas.openxmlformats.org/officeDocument/2006/relationships/hyperlink" Id="rId190" Target="https://doi.org/10.1146/annurev-soc-121919-054857" TargetMode="External" /><Relationship Type="http://schemas.openxmlformats.org/officeDocument/2006/relationships/hyperlink" Id="rId164" Target="https://doi.org/10.1162/154247603322493212" TargetMode="External" /><Relationship Type="http://schemas.openxmlformats.org/officeDocument/2006/relationships/hyperlink" Id="rId58" Target="https://doi.org/10.1177/0001839219867024" TargetMode="External" /><Relationship Type="http://schemas.openxmlformats.org/officeDocument/2006/relationships/hyperlink" Id="rId158" Target="https://doi.org/10.1177/00018392211010118" TargetMode="External" /><Relationship Type="http://schemas.openxmlformats.org/officeDocument/2006/relationships/hyperlink" Id="rId123" Target="https://doi.org/10.1177/0003122420979980" TargetMode="External" /><Relationship Type="http://schemas.openxmlformats.org/officeDocument/2006/relationships/hyperlink" Id="rId86" Target="https://doi.org/10.1177/0018726720915761" TargetMode="External" /><Relationship Type="http://schemas.openxmlformats.org/officeDocument/2006/relationships/hyperlink" Id="rId130" Target="https://doi.org/10.1177/0090591707310084" TargetMode="External" /><Relationship Type="http://schemas.openxmlformats.org/officeDocument/2006/relationships/hyperlink" Id="rId198" Target="https://doi.org/10.1177/0950017018785616" TargetMode="External" /><Relationship Type="http://schemas.openxmlformats.org/officeDocument/2006/relationships/hyperlink" Id="rId185" Target="https://doi.org/10.1177/0950017019886511" TargetMode="External" /><Relationship Type="http://schemas.openxmlformats.org/officeDocument/2006/relationships/hyperlink" Id="rId42" Target="https://doi.org/10.1177/10564926231202422" TargetMode="External" /><Relationship Type="http://schemas.openxmlformats.org/officeDocument/2006/relationships/hyperlink" Id="rId25" Target="https://doi.org/10.1177/1350508410376256" TargetMode="External" /><Relationship Type="http://schemas.openxmlformats.org/officeDocument/2006/relationships/hyperlink" Id="rId40" Target="https://doi.org/10.1177/1350508420961531" TargetMode="External" /><Relationship Type="http://schemas.openxmlformats.org/officeDocument/2006/relationships/hyperlink" Id="rId27" Target="https://doi.org/10.1177/1461444816676645" TargetMode="External" /><Relationship Type="http://schemas.openxmlformats.org/officeDocument/2006/relationships/hyperlink" Id="rId148" Target="https://doi.org/10.1177/1461444818799523" TargetMode="External" /><Relationship Type="http://schemas.openxmlformats.org/officeDocument/2006/relationships/hyperlink" Id="rId55" Target="https://doi.org/10.1177/1461444819865984" TargetMode="External" /><Relationship Type="http://schemas.openxmlformats.org/officeDocument/2006/relationships/hyperlink" Id="rId127" Target="https://doi.org/10.1177/14614448211021404" TargetMode="External" /><Relationship Type="http://schemas.openxmlformats.org/officeDocument/2006/relationships/hyperlink" Id="rId167" Target="https://doi.org/10.1177/14614448221100802" TargetMode="External" /><Relationship Type="http://schemas.openxmlformats.org/officeDocument/2006/relationships/hyperlink" Id="rId144" Target="https://doi.org/10.1177/14614448231182662" TargetMode="External" /><Relationship Type="http://schemas.openxmlformats.org/officeDocument/2006/relationships/hyperlink" Id="rId84" Target="https://doi.org/10.1177/14614448241291137" TargetMode="External" /><Relationship Type="http://schemas.openxmlformats.org/officeDocument/2006/relationships/hyperlink" Id="rId52" Target="https://doi.org/10.1177/1474885119851094" TargetMode="External" /><Relationship Type="http://schemas.openxmlformats.org/officeDocument/2006/relationships/hyperlink" Id="rId135" Target="https://doi.org/10.1177/14748851221082078" TargetMode="External" /><Relationship Type="http://schemas.openxmlformats.org/officeDocument/2006/relationships/hyperlink" Id="rId50" Target="https://doi.org/10.1177/14748851241227121" TargetMode="External" /><Relationship Type="http://schemas.openxmlformats.org/officeDocument/2006/relationships/hyperlink" Id="rId99" Target="https://doi.org/10.1177/1476127015624274" TargetMode="External" /><Relationship Type="http://schemas.openxmlformats.org/officeDocument/2006/relationships/hyperlink" Id="rId141" Target="https://doi.org/10.1177/19389655251318185" TargetMode="External" /><Relationship Type="http://schemas.openxmlformats.org/officeDocument/2006/relationships/hyperlink" Id="rId43" Target="https://doi.org/10.1177/2053951715622512" TargetMode="External" /><Relationship Type="http://schemas.openxmlformats.org/officeDocument/2006/relationships/hyperlink" Id="rId131" Target="https://doi.org/10.1177/2053951720948087" TargetMode="External" /><Relationship Type="http://schemas.openxmlformats.org/officeDocument/2006/relationships/hyperlink" Id="rId105" Target="https://doi.org/10.1177/2053951720982012" TargetMode="External" /><Relationship Type="http://schemas.openxmlformats.org/officeDocument/2006/relationships/hyperlink" Id="rId153" Target="https://doi.org/10.1177/2056305119879995" TargetMode="External" /><Relationship Type="http://schemas.openxmlformats.org/officeDocument/2006/relationships/hyperlink" Id="rId37" Target="https://doi.org/10.1177/2056305119897323" TargetMode="External" /><Relationship Type="http://schemas.openxmlformats.org/officeDocument/2006/relationships/hyperlink" Id="rId183" Target="https://doi.org/10.1177/26317877241257213" TargetMode="External" /><Relationship Type="http://schemas.openxmlformats.org/officeDocument/2006/relationships/hyperlink" Id="rId120" Target="https://doi.org/10.1257/jep.24.3.233" TargetMode="External" /><Relationship Type="http://schemas.openxmlformats.org/officeDocument/2006/relationships/hyperlink" Id="rId186" Target="https://doi.org/10.1257/mic.20190307" TargetMode="External" /><Relationship Type="http://schemas.openxmlformats.org/officeDocument/2006/relationships/hyperlink" Id="rId77" Target="https://doi.org/10.1257/pandp.20231068" TargetMode="External" /><Relationship Type="http://schemas.openxmlformats.org/officeDocument/2006/relationships/hyperlink" Id="rId106" Target="https://doi.org/10.1287/mksc.2019.1167" TargetMode="External" /><Relationship Type="http://schemas.openxmlformats.org/officeDocument/2006/relationships/hyperlink" Id="rId165" Target="https://doi.org/10.1287/mnsc.1060.0675" TargetMode="External" /><Relationship Type="http://schemas.openxmlformats.org/officeDocument/2006/relationships/hyperlink" Id="rId96" Target="https://doi.org/10.1287/mnsc.2014.2042" TargetMode="External" /><Relationship Type="http://schemas.openxmlformats.org/officeDocument/2006/relationships/hyperlink" Id="rId94" Target="https://doi.org/10.1287/mnsc.2020.3583" TargetMode="External" /><Relationship Type="http://schemas.openxmlformats.org/officeDocument/2006/relationships/hyperlink" Id="rId93" Target="https://doi.org/10.1287/mnsc.2021.02736" TargetMode="External" /><Relationship Type="http://schemas.openxmlformats.org/officeDocument/2006/relationships/hyperlink" Id="rId97" Target="https://doi.org/10.1287/mnsc.2023.4757" TargetMode="External" /><Relationship Type="http://schemas.openxmlformats.org/officeDocument/2006/relationships/hyperlink" Id="rId174" Target="https://doi.org/10.1287/opre.2025.2046" TargetMode="External" /><Relationship Type="http://schemas.openxmlformats.org/officeDocument/2006/relationships/hyperlink" Id="rId24" Target="https://doi.org/10.1287/orsc.12.2.215.10117" TargetMode="External" /><Relationship Type="http://schemas.openxmlformats.org/officeDocument/2006/relationships/hyperlink" Id="rId161" Target="https://doi.org/10.1287/orsc.2019.1290" TargetMode="External" /><Relationship Type="http://schemas.openxmlformats.org/officeDocument/2006/relationships/hyperlink" Id="rId194" Target="https://doi.org/10.1287/orsc.2021.1544" TargetMode="External" /><Relationship Type="http://schemas.openxmlformats.org/officeDocument/2006/relationships/hyperlink" Id="rId47" Target="https://doi.org/10.1287/orsc.2021.1557" TargetMode="External" /><Relationship Type="http://schemas.openxmlformats.org/officeDocument/2006/relationships/hyperlink" Id="rId166" Target="https://doi.org/10.14763/2020.2.1479" TargetMode="External" /><Relationship Type="http://schemas.openxmlformats.org/officeDocument/2006/relationships/hyperlink" Id="rId156" Target="https://doi.org/10.14763/2020.4.1532" TargetMode="External" /><Relationship Type="http://schemas.openxmlformats.org/officeDocument/2006/relationships/hyperlink" Id="rId162" Target="https://doi.org/10.14763/2021.3.1575" TargetMode="External" /><Relationship Type="http://schemas.openxmlformats.org/officeDocument/2006/relationships/hyperlink" Id="rId188" Target="https://doi.org/10.14763/2026.1.2063" TargetMode="External" /><Relationship Type="http://schemas.openxmlformats.org/officeDocument/2006/relationships/hyperlink" Id="rId147" Target="https://doi.org/10.1515/9780691261775" TargetMode="External" /><Relationship Type="http://schemas.openxmlformats.org/officeDocument/2006/relationships/hyperlink" Id="rId30" Target="https://doi.org/10.1515/9781400887781" TargetMode="External" /><Relationship Type="http://schemas.openxmlformats.org/officeDocument/2006/relationships/hyperlink" Id="rId133" Target="https://doi.org/10.17705/1jais.00774" TargetMode="External" /><Relationship Type="http://schemas.openxmlformats.org/officeDocument/2006/relationships/hyperlink" Id="rId155" Target="https://doi.org/10.21248/gjn.9.1.101" TargetMode="External" /><Relationship Type="http://schemas.openxmlformats.org/officeDocument/2006/relationships/hyperlink" Id="rId143" Target="https://doi.org/10.2189/asqu.2005.50.1.100" TargetMode="External" /><Relationship Type="http://schemas.openxmlformats.org/officeDocument/2006/relationships/hyperlink" Id="rId91" Target="https://doi.org/10.2307/270949" TargetMode="External" /><Relationship Type="http://schemas.openxmlformats.org/officeDocument/2006/relationships/hyperlink" Id="rId169" Target="https://doi.org/10.2307/3146375" TargetMode="External" /><Relationship Type="http://schemas.openxmlformats.org/officeDocument/2006/relationships/hyperlink" Id="rId132" Target="https://doi.org/10.25300/MISQ/2021/15333" TargetMode="External" /><Relationship Type="http://schemas.openxmlformats.org/officeDocument/2006/relationships/hyperlink" Id="rId104" Target="https://doi.org/10.4337/9781849808774" TargetMode="External" /><Relationship Type="http://schemas.openxmlformats.org/officeDocument/2006/relationships/hyperlink" Id="rId180" Target="https://doi.org/10.5210/fm.v26i5.11693" TargetMode="External" /><Relationship Type="http://schemas.openxmlformats.org/officeDocument/2006/relationships/hyperlink" Id="rId177" Target="https://doi.org/10.5210/fm.v26i5.11698" TargetMode="External" /><Relationship Type="http://schemas.openxmlformats.org/officeDocument/2006/relationships/hyperlink" Id="rId179" Target="https://doi.org/10.5465/256865" TargetMode="External" /><Relationship Type="http://schemas.openxmlformats.org/officeDocument/2006/relationships/hyperlink" Id="rId59" Target="https://doi.org/10.5465/amp.2019.0103" TargetMode="External" /><Relationship Type="http://schemas.openxmlformats.org/officeDocument/2006/relationships/hyperlink" Id="rId111" Target="https://doi.org/10.5465/annals.2018.0174" TargetMode="External" /><Relationship Type="http://schemas.openxmlformats.org/officeDocument/2006/relationships/hyperlink" Id="rId159" Target="https://doi.org/10.5465/annals.2022.0090" TargetMode="External" /><Relationship Type="http://schemas.openxmlformats.org/officeDocument/2006/relationships/hyperlink" Id="rId182" Target="https://doi.org/10.6092/issn.1971-8853/12221" TargetMode="External" /><Relationship Type="http://schemas.openxmlformats.org/officeDocument/2006/relationships/hyperlink" Id="rId65" Target="https://dsa-observatory.eu/2026/06/08/state-of-play-of-dsa-dispute-settlement-meaningful-redress-uneven-results/" TargetMode="External" /><Relationship Type="http://schemas.openxmlformats.org/officeDocument/2006/relationships/hyperlink" Id="rId70" Target="https://ec.europa.eu/commission/presscorner/detail/en/ip_22_7777" TargetMode="External" /><Relationship Type="http://schemas.openxmlformats.org/officeDocument/2006/relationships/hyperlink" Id="rId72" Target="https://ec.europa.eu/commission/presscorner/detail/en/ip_24_2561" TargetMode="External" /><Relationship Type="http://schemas.openxmlformats.org/officeDocument/2006/relationships/hyperlink" Id="rId29" Target="https://ecommons.cornell.edu/items/9923ee6a-ac32-48d3-a73e-0fbf26c32137" TargetMode="External" /><Relationship Type="http://schemas.openxmlformats.org/officeDocument/2006/relationships/hyperlink" Id="rId28" Target="https://ecommons.cornell.edu/items/c9ddec73-3e3a-443b-97be-9467eebb3bcd" TargetMode="External" /><Relationship Type="http://schemas.openxmlformats.org/officeDocument/2006/relationships/hyperlink" Id="rId210" Target="https://eur-lex.europa.eu/eli/reg/2026/1744/oj" TargetMode="External" /><Relationship Type="http://schemas.openxmlformats.org/officeDocument/2006/relationships/hyperlink" Id="rId71" Target="https://eur-lex.europa.eu/legal-content/EN/TXT/?uri=CELEX:52023DC0525" TargetMode="External" /><Relationship Type="http://schemas.openxmlformats.org/officeDocument/2006/relationships/hyperlink" Id="rId73" Target="https://eur-lex.europa.eu/legal-content/EN/TXT/?uri=CELEX:52025PC0837" TargetMode="External" /><Relationship Type="http://schemas.openxmlformats.org/officeDocument/2006/relationships/hyperlink" Id="rId74" Target="https://eur-lex.europa.eu/legal-content/EN/TXT/?uri=CELEX:52026DC0178" TargetMode="External" /><Relationship Type="http://schemas.openxmlformats.org/officeDocument/2006/relationships/hyperlink" Id="rId212" Target="https://eur-lex.europa.eu/legal-content/EN/TXT/?uri=CELEX:62021CJ0634" TargetMode="External" /><Relationship Type="http://schemas.openxmlformats.org/officeDocument/2006/relationships/hyperlink" Id="rId217" Target="https://eur-lex.europa.eu/legal-content/EN/TXT/?uri=CELEX:62023CC0264" TargetMode="External" /><Relationship Type="http://schemas.openxmlformats.org/officeDocument/2006/relationships/hyperlink" Id="rId213" Target="https://eur-lex.europa.eu/legal-content/EN/TXT/?uri=OJ:C_202505215" TargetMode="External" /><Relationship Type="http://schemas.openxmlformats.org/officeDocument/2006/relationships/hyperlink" Id="rId115" Target="https://ijoc.org/index.php/ijoc/article/view/7864" TargetMode="External" /><Relationship Type="http://schemas.openxmlformats.org/officeDocument/2006/relationships/hyperlink" Id="rId57" Target="https://ilr.law.uiowa.edu/sites/ilr.law.uiowa.edu/files/2023-02/ILR-101-2-Crane.pdf" TargetMode="External" /><Relationship Type="http://schemas.openxmlformats.org/officeDocument/2006/relationships/hyperlink" Id="rId53" Target="https://lawreview.law.ucdavis.edu/archives/51/1/law-platform-economy" TargetMode="External" /><Relationship Type="http://schemas.openxmlformats.org/officeDocument/2006/relationships/hyperlink" Id="rId64" Target="https://scholarship.law.unc.edu/ncjolt/vol21/iss1/2/" TargetMode="External" /><Relationship Type="http://schemas.openxmlformats.org/officeDocument/2006/relationships/hyperlink" Id="rId214" Target="https://uitspraken.rechtspraak.nl/details?id=ECLI:NL:GHAMS:2023:793" TargetMode="External" /><Relationship Type="http://schemas.openxmlformats.org/officeDocument/2006/relationships/hyperlink" Id="rId215" Target="https://uitspraken.rechtspraak.nl/details?id=ECLI:NL:GHAMS:2023:796" TargetMode="External" /><Relationship Type="http://schemas.openxmlformats.org/officeDocument/2006/relationships/hyperlink" Id="rId168" Target="https://www.hotrec.eu/media/static/files/import/all_news_2024_2024_21/hotrec-distribution-study-2024.pdf" TargetMode="External" /><Relationship Type="http://schemas.openxmlformats.org/officeDocument/2006/relationships/hyperlink" Id="rId152" Target="https://www.uclalawreview.org/antitrust-as-allocator-of-coordination-rights/" TargetMode="External" /><Relationship Type="http://schemas.openxmlformats.org/officeDocument/2006/relationships/hyperlink" Id="rId193" Target="https://www.yalelawjournal.org/article/a-relational-theory-of-data-governance" TargetMode="External" /><Relationship Type="http://schemas.openxmlformats.org/officeDocument/2006/relationships/hyperlink" Id="rId113" Target="https://www.yalelawjournal.org/note/amazons-antitrust-parad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2026-08-25T17:30:41Z</dcterms:created>
  <dcterms:modified xsi:type="dcterms:W3CDTF">2026-08-25T17:30:41Z</dcterms:modified>
</cp:coreProperties>
</file>

<file path=docProps/custom.xml><?xml version="1.0" encoding="utf-8"?>
<Properties xmlns="http://schemas.openxmlformats.org/officeDocument/2006/custom-properties" xmlns:vt="http://schemas.openxmlformats.org/officeDocument/2006/docPropsVTypes"/>
</file>