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/>
      </w:pPr>
    </w:p>
    <w:p>
      <w:pPr>
        <w:spacing w:after="0" w:line="480"/>
      </w:pPr>
    </w:p>
    <w:p>
      <w:pPr>
        <w:spacing w:after="0" w:line="480"/>
      </w:pPr>
    </w:p>
    <w:p>
      <w:pPr>
        <w:spacing w:after="0" w:line="480"/>
      </w:pPr>
    </w:p>
    <w:p>
      <w:pPr>
        <w:spacing w:after="0" w:line="480"/>
      </w:pPr>
    </w:p>
    <w:p>
      <w:pPr>
        <w:spacing w:after="0" w:line="480"/>
      </w:pP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Algorithmacy as a Human Factors Problem: Re-coding Digitally Induced Altered States</w:t>
      </w:r>
    </w:p>
    <w:p>
      <w:pPr>
        <w:spacing w:after="0" w:line="480"/>
      </w:pP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Roger Hunt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Ph.D. Program, Bentley University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PHD1750-3: Independent Research Project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Ericson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October 6, 2026</w:t>
      </w:r>
    </w:p>
    <w:p>
      <w:pPr>
        <w:pageBreakBefore/>
      </w:pP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Algorithmacy as a Human Factors Problem: Re-coding Digitally Induced Altered States</w:t>
      </w:r>
    </w:p>
    <w:p>
      <w:pPr>
        <w:spacing w:after="0" w:line="480"/>
      </w:pPr>
    </w:p>
    <w:p>
      <w:pPr>
        <w:pStyle w:val="Heading1"/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Topic and Rationale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paper asks how science-fiction narratives depict parties reading and rewriting a shared algorithmic third party, and what patterns of access, interface, and competence those depictions make visible.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Belousov et al. (2027) analysed 25 novels for digitally induced altered states of consciousness (DIAL) and produced an eight-type framework of user–technology interaction.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They treat the brain–computer interface as the frontier, input discrepancy as the mark of an altered state, and the user as the person who receives what a designer made.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unit that now decides most coordination is a triad: a party, an algorithmic mediator with commitments of its own, and a counterpart who meets what that mediator has become.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That triad is the construct my dissertation names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algorithmacy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—the competence of coordinating with a counterpart through an interested algorithmic third party.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course paper re-codes Belousov et al.’s published corpus against that construct and extends it by six catalogued screen and platform works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Matrix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Feed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Upload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embodied co-pilot of semi-autonomous vehicles, the recommender-as-oracle, and algospeak).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moves a current HCI framework from literacy’s producer–consumer ontology onto the triadic form the rest of the dissertation measures, and it treats speculative interfaces as a human-factors laboratory.</w:t>
      </w:r>
    </w:p>
    <w:p>
      <w:pPr>
        <w:pStyle w:val="Heading1"/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Connection to Course Concepts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Perception.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Folk theories of algorithmic systems are perceptual models of an invisible rule, inferred from outputs rather than from structure (Eslami et al., 2016).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Belousov et al. (2027) take a related cut: an altered state is a discrepancy between sensory input and experienced content.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criterion tests the periphery of perception and fails where the input is itself authored by a mediator.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Literacy already rebuilds perceptual cortex; Dehaene and Cohen (2007) showed that reading recycles a region of ventral occipitotemporal cortex as the visual word form area.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Designed signs alter minds. The brain–computer interface changes the sensorimotor channel. Algorithmacy changes the activity of the mediator.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qualifying scene is coded as a read or a write on the mediator’s commitments.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Sanctioned writes include training a recommender by lingering and intervening on a semi-autonomous vehicle whose intervention becomes fleet policy.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Subversive writes include gaming a stimulator’s feedback rule and shipping a coded protocol over a classifier.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Human–agent teaming appears as the embodied co-pilot: the handoff is not a trust-calibration display but a development act whose product other drivers later meet.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Cognition.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Algorithmacy is a competence, not a literacy upgrade.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Integrated Information Theory supplies the criterion for an altered state: a reconfiguration of the cause–effect structure a system specifies for itself (Albantakis et al., 2023).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Φ is computed on fiction; the borrowing is formal.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Irreducibility of cause–effect structure is the right kind of thing to mean by a change of state once input discrepancy has done its taxonomic work.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Human factors and design.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Ananny and Crawford (2018) showed that seeing a system is not knowing it, and that raw backend access can overload working memory.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paper accepts the load claim and rejects the pastoral conclusion that novices should receive abstracted heuristics while experts receive structural variables.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Abstracting the steering surface from a party who is already steering hides her contribution while keeping it available to the operator.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design object is the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engagement layer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—where reading and rewriting the shared mediator is the ordinary mode of use—not a product layer that hides the mediator behind a stable surface.</w:t>
      </w:r>
    </w:p>
    <w:p>
      <w:pPr>
        <w:pStyle w:val="Heading1"/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Preliminary Position or Direction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final paper is a secondary analysis, not a new sample.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hold Belousov et al.’s 25 novels fixed so that differences of result are differences of criterion and frame, and I extend the corpus with six works already catalogued for algorithmic mediation.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inclusion criterion is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cooptive commit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scene qualifies when an algorithmic mediator sits between a party and a counterpart, and the scene depicts the party reading or writing that mediator’s commitments.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aspects, fixed before coding, combine into eight interaction types.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Reach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asks whose later state the read or written mediator state is met by (internal or external).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asks whether the party reads the commitments, interpretively from behaviour or structurally from the rule, or writes them through a sanctioned channel or a subverted one.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eight types are folk theorizing, backend reading, shared folk theory, audit, training by response, subversive affordance, operator commit, and protocol shipping.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Five themes follow: write access is stratified by licence rather than literacy; engagement is the operator’s development material; the self is a node others can rewrite; truth is a mediator commitment; pastoral design should give way to collective algorithmacy.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framework is offered to designers inverted: each cell is a cooptive regime, not an experience genre.</w:t>
      </w:r>
    </w:p>
    <w:p>
      <w:pPr>
        <w:pStyle w:val="Heading1"/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Preliminary Literature Review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Albantakis, L., Barbosa, L., Findlay, G., Grasso, M., Haun, A. M., Marshall, W., Mayner, W. G. P., Zaeemzadeh, A., Boly, M., Juel, B. E., Sasai, S., Fujii, K., David, I., Hendren, J., Lang, J. P., &amp; Tononi, G. (2023). Integrated information theory (IIT) 4.0: Formulating the properties of phenomenal existence in physical terms.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PLOS Computational Biology, 19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(10), Article e1011465. https://doi.org/10.1371/journal.pcbi.1011465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Albantakis et al. state IIT 4.0 in physical terms: a system’s experience is identical to the cause–effect structure it specifies over its own parts, irreducible to any partition of those parts.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paper uses this as the conceptual criterion for an altered state, replacing Belousov et al.’s input discrepancy, and as the formal warrant for calling the algorithmic mediator a party.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Φ is computed on fiction; the laboratory’s exact-Φ results on Boolean models are cited, not re-derived.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Ananny, M., &amp; Crawford, K. (2018). Seeing without knowing: Limitations of the transparency ideal and its application to algorithmic accountability.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New Media &amp; Society, 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(3), 973–989. https://doi.org/10.1177/1461444816676645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Ananny and Crawford argue that seeing a system is not knowing it, and that the transparency ideal can fail as an accountability practice.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paper takes that limit as the load half of the transparency paradox and as the reason audit, a structural read of a shared mediator, is rare in the field.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Their argument is the foil for the design claim: the remedy is not more explanation of a finished product but an operable engagement layer.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Belousov, A., Macey, J., Bujić, M., Ojell-Järventausta, T., &amp; Hamari, J. (2027). Designing the future of consciousness: A components framework and speculative implications.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International Journal of Human–Computer Studies, 218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Article 103926. https://doi.org/10.1016/j.ijhcs.2026.103926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Belousov et al. analyse 25 science-fiction novels for DIAL, construct an eight-type framework from context × purpose, and draw five themes about identity, autonomy, and hypercompetition.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Their published extracts, Table 1, and Table A.1 are the fixed corpus the paper re-codes.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Their method, reflexive thematic analysis of diegetic prototypes, transfers; their UX-first coding layer and their discrepancy criterion do not.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Dehaene, S., &amp; Cohen, L. (2007). Cultural recycling of cortical maps.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Neuron, 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(2), 384–398. https://doi.org/10.1016/j.neuron.2007.10.004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Dehaene and Cohen show that literacy recycles a region of left ventral occipitotemporal cortex originally tuned for invariant visual recognition, producing the visual word form area.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finding grounds the claim that designed signs already alter minds, so that BCI is a change of channel rather than the start of mind-altering design.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also supplies the engagement-layer analogy: the answer to cognitive load was a change of interface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scriptio continua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word separation), not a reservation of reading for those who could bear the load.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Eslami, M., Karahalios, K., Sandvig, C., Vaccaro, K., Rickman, A., Hamilton, K., &amp; Kirlik, A. (2016). First I “like” it, then I hide it: Folk theories of social feeds.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Proceedings of the 2016 CHI Conference on Human Factors in Computing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(pp. 2371–2382). Association for Computing Machinery. https://doi.org/10.1145/2858036.2858494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Eslami et al. document the folk theories users construct of algorithmic social feeds: working models of an invisible ranking rule, built from its outputs.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Those theories populate two cells of the paper’s framework, folk theorizing and shared folk theory, and are the fielded analogue of characters who infer a mediator they cannot inspect.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article is the human-factors warrant for coding interpretive read as a competence rather than as error.</w:t>
      </w:r>
    </w:p>
    <w:p>
      <w:pPr>
        <w:pStyle w:val="Heading1"/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Albantakis, L., Barbosa, L., Findlay, G., Grasso, M., Haun, A. M., Marshall, W., Mayner, W. G. P., Zaeemzadeh, A., Boly, M., Juel, B. E., Sasai, S., Fujii, K., David, I., Hendren, J., Lang, J. P., &amp; Tononi, G. (2023). Integrated information theory (IIT) 4.0: Formulating the properties of phenomenal existence in physical terms.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PLOS Computational Biology, 19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(10), Article e1011465. https://doi.org/10.1371/journal.pcbi.1011465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Ananny, M., &amp; Crawford, K. (2018). Seeing without knowing: Limitations of the transparency ideal and its application to algorithmic accountability.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New Media &amp; Society, 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(3), 973–989. https://doi.org/10.1177/1461444816676645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Belousov, A., Macey, J., Bujić, M., Ojell-Järventausta, T., &amp; Hamari, J. (2027). Designing the future of consciousness: A components framework and speculative implications.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International Journal of Human–Computer Studies, 218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Article 103926. https://doi.org/10.1016/j.ijhcs.2026.103926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Dehaene, S., &amp; Cohen, L. (2007). Cultural recycling of cortical maps.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Neuron, 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(2), 384–398. https://doi.org/10.1016/j.neuron.2007.10.004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Eslami, M., Karahalios, K., Sandvig, C., Vaccaro, K., Rickman, A., Hamilton, K., &amp; Kirlik, A. (2016). First I “like” it, then I hide it: Folk theories of social feeds.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Proceedings of the 2016 CHI Conference on Human Factors in Computing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(pp. 2371–2382). Association for Computing Machinery. https://doi.org/10.1145/2858036.2858494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480"/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0" w:before="0" w:line="48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Algorithmacy as a Human Factors Problem: Re-coding Digitally Induced Altered States</dc:title>
  <dc:creator>Roger Hunt</dc:creator>
  <dc:description>PHD1750-3 Independent Research Project paper proposal, Ericson, Fall 2026.</dc:description>
  <cp:lastModifiedBy>Un-named</cp:lastModifiedBy>
  <cp:revision>1</cp:revision>
  <dcterms:created xsi:type="dcterms:W3CDTF">2026-09-21T15:31:02.688Z</dcterms:created>
  <dcterms:modified xsi:type="dcterms:W3CDTF">2026-09-21T15:31:02.692Z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