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5dbf847ea8c4858f844b689696de5f4593300a5"/>
    <w:p>
      <w:pPr>
        <w:pStyle w:val="Heading1"/>
      </w:pPr>
      <w:r>
        <w:t xml:space="preserve">The Third Nobody Chose:</w:t>
      </w:r>
      <w:r>
        <w:t xml:space="preserve"> </w:t>
      </w:r>
      <w:r>
        <w:rPr>
          <w:i/>
          <w:iCs/>
        </w:rPr>
        <w:t xml:space="preserve">Slacker</w:t>
      </w:r>
      <w:r>
        <w:t xml:space="preserve">, and the Story of a Platform</w:t>
      </w:r>
    </w:p>
    <w:bookmarkStart w:id="9" w:name="roger-hunt-bentley-university"/>
    <w:p>
      <w:pPr>
        <w:pStyle w:val="Heading4"/>
      </w:pPr>
      <w:r>
        <w:t xml:space="preserve">Roger Hunt, Bentley University</w:t>
      </w:r>
    </w:p>
    <w:bookmarkEnd w:id="9"/>
    <w:bookmarkStart w:id="11" w:name="between-reich-and-stark"/>
    <w:p>
      <w:pPr>
        <w:pStyle w:val="Heading2"/>
      </w:pPr>
      <w:r>
        <w:t xml:space="preserve">1. Between Reich and Stark</w:t>
      </w:r>
    </w:p>
    <w:p>
      <w:pPr>
        <w:pStyle w:val="FirstParagraph"/>
      </w:pPr>
      <w:r>
        <w:t xml:space="preserve">A platform is a third that holds people within reach of one another and brokers none of their meetings. Richard Linklater’s</w:t>
      </w:r>
      <w:r>
        <w:t xml:space="preserve"> </w:t>
      </w:r>
      <w:r>
        <w:rPr>
          <w:i/>
          <w:iCs/>
        </w:rPr>
        <w:t xml:space="preserve">Slacker</w:t>
      </w:r>
      <w:r>
        <w:t xml:space="preserve"> </w:t>
      </w:r>
      <w:r>
        <w:t xml:space="preserve">(1990) records that arrangement across one Austin day: the sidewalk holds strangers in reach, and the cut chooses who the viewer meets next. Contract, command, and collaboration do not run the day. The cut is a coordinating act, not an editing trademark; later platforms automate the pairing of reach, selection, and grant, including access refused with no reason given. I track that pairing from Simmel’s postponed third through Royce and Reich into Linklater’s footage, then to Stark and Pais, who say platform owners co-opt providers and users. I take four powers from the club door, I read the camera as an interpreter beyond Royce, and I name the later literacy algorithmacy.</w:t>
      </w:r>
    </w:p>
    <w:p>
      <w:pPr>
        <w:pStyle w:val="BodyText"/>
      </w:pPr>
      <w:r>
        <w:t xml:space="preserve">By a third I mean a coordinating position that belongs to neither party it joins: it keeps people in a shared field and does not pair two of them as a known encounter. Linklater follows roughly a hundred people across that Austin day. A character enters, talks for a stretch, leaves the frame, and does not return as a continuing subject. People share a city without sharing an encounter. No single plot gathers them; audiences still follow the day. In</w:t>
      </w:r>
      <w:r>
        <w:t xml:space="preserve"> </w:t>
      </w:r>
      <w:r>
        <w:rPr>
          <w:i/>
          <w:iCs/>
        </w:rPr>
        <w:t xml:space="preserve">Slacker</w:t>
      </w:r>
      <w:r>
        <w:t xml:space="preserve"> </w:t>
      </w:r>
      <w:r>
        <w:t xml:space="preserve">the strangers on screen do not occupy the third’s place, and neither does the viewer. Markets coordinate by contracting, hierarchies by commanding, and networks by collaborating. Platforms, Stark and Pais write, coordinate by co-opting: owners enroll providers and users in algorithmic management without anyone having delegated managerial authority to them.</w:t>
      </w:r>
      <w:r>
        <w:rPr>
          <w:rStyle w:val="FootnoteReference"/>
        </w:rPr>
        <w:footnoteReference w:id="10"/>
      </w:r>
    </w:p>
    <w:p>
      <w:pPr>
        <w:pStyle w:val="BodyText"/>
      </w:pPr>
      <w:r>
        <w:t xml:space="preserve">The people on screen rarely sign contracts, rarely answer to one boss, and rarely build shared work together, yet the city keeps them available and the camera keeps choosing who comes next. Simmel’s pair-broker thirds (the non-partisan, the mediator, the</w:t>
      </w:r>
      <w:r>
        <w:t xml:space="preserve"> </w:t>
      </w:r>
      <w:r>
        <w:rPr>
          <w:i/>
          <w:iCs/>
        </w:rPr>
        <w:t xml:space="preserve">tertius gaudens</w:t>
      </w:r>
      <w:r>
        <w:t xml:space="preserve">, and</w:t>
      </w:r>
      <w:r>
        <w:t xml:space="preserve"> </w:t>
      </w:r>
      <w:r>
        <w:rPr>
          <w:i/>
          <w:iCs/>
        </w:rPr>
        <w:t xml:space="preserve">divide et impera</w:t>
      </w:r>
      <w:r>
        <w:t xml:space="preserve">) each stand between two parties the third already knows. The sidewalk and the cut stand between no such pair. Brokerage research followed those pair-broker cases and counted the broker as a node between known alters. Name every joining a platform and you erase the difference between reach and selection, and between a broker and a deferred third. Apps and feeds later automate that pairing of reach and selection. The pairing is older than the word</w:t>
      </w:r>
      <w:r>
        <w:t xml:space="preserve"> </w:t>
      </w:r>
      <w:r>
        <w:t xml:space="preserve">“platform.”</w:t>
      </w:r>
    </w:p>
    <w:p>
      <w:pPr>
        <w:pStyle w:val="BodyText"/>
      </w:pPr>
      <w:r>
        <w:t xml:space="preserve">Later platforms automate a pairing the film still keeps apart: they hold strangers in reach, they choose the next encounter without a spoken handoff, and they govern access as a grant. At the Blue Bayou door a worker names a cover price, checks a name against a list, refuses a person, and gives no ground. Those acts already give a deferred third power over someone who depends on it. A licensing page and a rideshare app keep those powers and remove the person who could still answer an argument. Linklater’s people still know how to argue at a door. They do not yet face determinations that arrive with no reasons attached.</w:t>
      </w:r>
    </w:p>
    <w:p>
      <w:pPr>
        <w:pStyle w:val="BodyText"/>
      </w:pPr>
      <w:r>
        <w:t xml:space="preserve">Simmel notes that isolated elements can unify through a common relation to something outside them, as in an alliance against a far enemy or an invisible church, then postpones the analysis, because that third stands at too great a</w:t>
      </w:r>
      <w:r>
        <w:t xml:space="preserve"> </w:t>
      </w:r>
      <w:r>
        <w:rPr>
          <w:i/>
          <w:iCs/>
        </w:rPr>
        <w:t xml:space="preserve">Distanz</w:t>
      </w:r>
      <w:r>
        <w:t xml:space="preserve"> </w:t>
      </w:r>
      <w:r>
        <w:t xml:space="preserve">for ordinary three-way interaction. I call what he postponed the deferred third: a third with no known pair and no broker between identified parties. Royce states when strangers count as members: they must take a shared past as their own and remain, in general, in communication. He builds interpretation as a triad among selves; I extend that triad to the camera. Reich names access held as a grant, which a grantor can price, judge, revoke, and leave unexplained. Linklater shoots in 1990, after that diagnosis and before Stark and Pais describe owners co-opting providers and users into algorithmic management. The filmed day shows enrollment without employment and grants still spoken at a door. I keep reach apart from selection, and I separate platforms that withhold reasons from electronic thirds that do not.</w:t>
      </w:r>
    </w:p>
    <w:p>
      <w:pPr>
        <w:pStyle w:val="BodyText"/>
      </w:pPr>
      <w:r>
        <w:t xml:space="preserve">The four powers come from the door, not from Reich’s list. The camera occupies the interpreter’s place Royce reserved for selves. Algorithmacy names fluency with determinations that arrive without reasons. The film does not predict Uber. It records the form before one system combined reach, selection, grant, and enrollment.</w:t>
      </w:r>
    </w:p>
    <w:bookmarkEnd w:id="11"/>
    <w:bookmarkStart w:id="18" w:name="structure-deferred-1908"/>
    <w:p>
      <w:pPr>
        <w:pStyle w:val="Heading2"/>
      </w:pPr>
      <w:r>
        <w:t xml:space="preserve">2. Structure deferred (1908)</w:t>
      </w:r>
    </w:p>
    <w:p>
      <w:pPr>
        <w:pStyle w:val="FirstParagraph"/>
      </w:pPr>
      <w:r>
        <w:t xml:space="preserve">Without a structural name, the camera’s joins look like an editing trademark. They are a coordinating form. Simmel’s pair-broker thirds cannot supply that name, because each acts on a known pair. The non-partisan and the mediator repair a relation between two identified parties; the</w:t>
      </w:r>
      <w:r>
        <w:t xml:space="preserve"> </w:t>
      </w:r>
      <w:r>
        <w:rPr>
          <w:i/>
          <w:iCs/>
        </w:rPr>
        <w:t xml:space="preserve">tertius gaudens</w:t>
      </w:r>
      <w:r>
        <w:t xml:space="preserve">, the laughing third, profits from standing between them;</w:t>
      </w:r>
      <w:r>
        <w:t xml:space="preserve"> </w:t>
      </w:r>
      <w:r>
        <w:rPr>
          <w:i/>
          <w:iCs/>
        </w:rPr>
        <w:t xml:space="preserve">divide et impera</w:t>
      </w:r>
      <w:r>
        <w:t xml:space="preserve">, divide and rule, sets them against each other in order to rule both.</w:t>
      </w:r>
      <w:r>
        <w:rPr>
          <w:rStyle w:val="FootnoteReference"/>
        </w:rPr>
        <w:footnoteReference w:id="12"/>
      </w:r>
      <w:r>
        <w:t xml:space="preserve"> </w:t>
      </w:r>
      <w:r>
        <w:t xml:space="preserve">On the opening page of the same chapter Wolff translates the sentence that matters here:</w:t>
      </w:r>
      <w:r>
        <w:t xml:space="preserve"> </w:t>
      </w:r>
      <w:r>
        <w:t xml:space="preserve">“It is sociologically very significant that isolated elements are unified by their common relation to a phenomenon which lies outside of them.”</w:t>
      </w:r>
      <w:r>
        <w:t xml:space="preserve"> </w:t>
      </w:r>
      <w:r>
        <w:t xml:space="preserve">The examples are an alliance against a common enemy and the invisible church. Then he withholds the analysis.</w:t>
      </w:r>
      <w:r>
        <w:t xml:space="preserve"> </w:t>
      </w:r>
      <w:r>
        <w:t xml:space="preserve">“The group-forming, mediating function of a third element will be discussed in a later context.”</w:t>
      </w:r>
      <w:r>
        <w:t xml:space="preserve"> </w:t>
      </w:r>
      <w:r>
        <w:t xml:space="preserve">In the German:</w:t>
      </w:r>
      <w:r>
        <w:t xml:space="preserve"> </w:t>
      </w:r>
      <w:r>
        <w:t xml:space="preserve">“Diese gesellschaftsbildende Vermittlung eines dritten Elementes ist indes in späterem Zusammenhang zu behandeln.”</w:t>
      </w:r>
      <w:r>
        <w:rPr>
          <w:rStyle w:val="FootnoteReference"/>
        </w:rPr>
        <w:footnoteReference w:id="13"/>
      </w:r>
    </w:p>
    <w:p>
      <w:pPr>
        <w:pStyle w:val="BodyText"/>
      </w:pPr>
      <w:r>
        <w:t xml:space="preserve">He does not set the case aside as trivial. He sets it aside as the wrong object for a chapter on the triad as a close group. The German makes the ground sharper than Wolff’s English.</w:t>
      </w:r>
      <w:r>
        <w:t xml:space="preserve"> </w:t>
      </w:r>
      <w:r>
        <w:rPr>
          <w:i/>
          <w:iCs/>
        </w:rPr>
        <w:t xml:space="preserve">Denn</w:t>
      </w:r>
      <w:r>
        <w:t xml:space="preserve"> </w:t>
      </w:r>
      <w:r>
        <w:t xml:space="preserve">the third stands at such a</w:t>
      </w:r>
      <w:r>
        <w:t xml:space="preserve"> </w:t>
      </w:r>
      <w:r>
        <w:rPr>
          <w:i/>
          <w:iCs/>
        </w:rPr>
        <w:t xml:space="preserve">Distanz</w:t>
      </w:r>
      <w:r>
        <w:t xml:space="preserve"> </w:t>
      </w:r>
      <w:r>
        <w:t xml:space="preserve">from the other two that no properly sociological interactions encompass all three alike. What remains are</w:t>
      </w:r>
      <w:r>
        <w:t xml:space="preserve"> </w:t>
      </w:r>
      <w:r>
        <w:rPr>
          <w:i/>
          <w:iCs/>
        </w:rPr>
        <w:t xml:space="preserve">Zweierkonfigurationen</w:t>
      </w:r>
      <w:r>
        <w:t xml:space="preserve">, configurations of two. Either sociology attends to the relation between the parties who join one another, or it attends to the relation between those parties taken as a unit and the outside center of interest that confronts them. The alliance against a common enemy and the invisible church both work that way. Members share a relation to something outside them. They do not form a three-element group in which enemy, ally, and ally, or God and two believers, interact as one sociological field. Simmel’s present concern is three elements close enough to constitute a group, permanent or momentary. The distant case falls outside that concern by construction. So he postpones it.</w:t>
      </w:r>
      <w:r>
        <w:t xml:space="preserve"> </w:t>
      </w:r>
      <w:r>
        <w:rPr>
          <w:i/>
          <w:iCs/>
        </w:rPr>
        <w:t xml:space="preserve">Behandeln</w:t>
      </w:r>
      <w:r>
        <w:t xml:space="preserve"> </w:t>
      </w:r>
      <w:r>
        <w:t xml:space="preserve">is still-to-be-treated, not dismissed. That distance is what</w:t>
      </w:r>
      <w:r>
        <w:t xml:space="preserve"> </w:t>
      </w:r>
      <w:r>
        <w:rPr>
          <w:i/>
          <w:iCs/>
        </w:rPr>
        <w:t xml:space="preserve">Slacker</w:t>
      </w:r>
      <w:r>
        <w:t xml:space="preserve"> </w:t>
      </w:r>
      <w:r>
        <w:t xml:space="preserve">records when the man who should have stayed at bus station and the hit-and-run strangers share Austin and a camera without entering one interaction field with those outside potencies as a known three.</w:t>
      </w:r>
    </w:p>
    <w:p>
      <w:pPr>
        <w:pStyle w:val="BodyText"/>
      </w:pPr>
      <w:r>
        <w:t xml:space="preserve">In</w:t>
      </w:r>
      <w:r>
        <w:t xml:space="preserve"> </w:t>
      </w:r>
      <w:r>
        <w:rPr>
          <w:i/>
          <w:iCs/>
        </w:rPr>
        <w:t xml:space="preserve">Der Streit</w:t>
      </w:r>
      <w:r>
        <w:t xml:space="preserve">, he argues that conflict itself is already a form of association, not merely a cause of later organization. Once fighting begins, the fight is a movement toward some kind of unity, even if only by destroying one side. The purest illustration is the combat-game: people unite in order to fight, and they fight under mutually recognized norms so impersonal that cooperative associations rarely match their rigor.</w:t>
      </w:r>
      <w:r>
        <w:rPr>
          <w:rStyle w:val="FootnoteReference"/>
        </w:rPr>
        <w:footnoteReference w:id="14"/>
      </w:r>
      <w:r>
        <w:t xml:space="preserve"> </w:t>
      </w:r>
      <w:r>
        <w:t xml:space="preserve">Elsewhere a common enemy holds a group across its internal contradictions; when the shared opposition falls away, those contradictions reappear. Conflict already unifies through opposition, and belongs to the same family as the alliance against a common enemy that he named and deferred on the triad’s first page. The film does not use that kind of unification. Its strangers share no common foe; the taxi and the accident share only the city that holds them and the cut that places them one after the other.</w:t>
      </w:r>
    </w:p>
    <w:p>
      <w:pPr>
        <w:pStyle w:val="BodyText"/>
      </w:pPr>
      <w:r>
        <w:t xml:space="preserve">The analysis he deferred was not conflict among parties who interact. It was group-forming mediation by a third so distant that no three-way sociological interaction obtains at all: God for the invisible church, the far enemy for an alliance of states. Those figures unify by a common outside relation without ever entering a triad that sociology can treat as one interaction field among three. Across the 1908</w:t>
      </w:r>
      <w:r>
        <w:t xml:space="preserve"> </w:t>
      </w:r>
      <w:r>
        <w:rPr>
          <w:i/>
          <w:iCs/>
        </w:rPr>
        <w:t xml:space="preserve">Soziologie</w:t>
      </w:r>
      <w:r>
        <w:t xml:space="preserve">,</w:t>
      </w:r>
      <w:r>
        <w:t xml:space="preserve"> </w:t>
      </w:r>
      <w:r>
        <w:rPr>
          <w:i/>
          <w:iCs/>
        </w:rPr>
        <w:t xml:space="preserve">gesellschaftsbildende Vermittlung eines dritten Elementes</w:t>
      </w:r>
      <w:r>
        <w:t xml:space="preserve"> </w:t>
      </w:r>
      <w:r>
        <w:t xml:space="preserve">appears once, at the deferral, and does not return. I call what he left undeveloped the deferred third: a third with no known pair and no broker between identified parties. Among the thirds kept in the triad chapter, it is the one that matches a cut between strangers who never meet.</w:t>
      </w:r>
    </w:p>
    <w:p>
      <w:pPr>
        <w:pStyle w:val="BodyText"/>
      </w:pPr>
      <w:r>
        <w:t xml:space="preserve">Brokerage research followed the pair-broker thirds and left this case aside. It treats brokerage as one actor connected to two others who are not connected, measured as a node property. Burt’s structural-hole broker profits from the gap; Obstfeld’s</w:t>
      </w:r>
      <w:r>
        <w:t xml:space="preserve"> </w:t>
      </w:r>
      <w:r>
        <w:rPr>
          <w:i/>
          <w:iCs/>
        </w:rPr>
        <w:t xml:space="preserve">tertius iungens</w:t>
      </w:r>
      <w:r>
        <w:t xml:space="preserve"> </w:t>
      </w:r>
      <w:r>
        <w:t xml:space="preserve">joins across it on purpose. Neither matches</w:t>
      </w:r>
      <w:r>
        <w:t xml:space="preserve"> </w:t>
      </w:r>
      <w:r>
        <w:rPr>
          <w:i/>
          <w:iCs/>
        </w:rPr>
        <w:t xml:space="preserve">Distanz</w:t>
      </w:r>
      <w:r>
        <w:t xml:space="preserve">: both still know which pair they stand between. Reviews screen out non-human networks and networks outside work, so Austin’s sidewalk and the film’s cut fall outside those instruments by construction.</w:t>
      </w:r>
      <w:r>
        <w:rPr>
          <w:rStyle w:val="FootnoteReference"/>
        </w:rPr>
        <w:footnoteReference w:id="15"/>
      </w:r>
      <w:r>
        <w:t xml:space="preserve"> </w:t>
      </w:r>
      <w:r>
        <w:t xml:space="preserve">Absent and institutional thirds already have other names, none of them this no-known-pair reading of the deferral.</w:t>
      </w:r>
      <w:r>
        <w:rPr>
          <w:rStyle w:val="FootnoteReference"/>
        </w:rPr>
        <w:footnoteReference w:id="16"/>
      </w:r>
    </w:p>
    <w:p>
      <w:pPr>
        <w:pStyle w:val="BodyText"/>
      </w:pPr>
      <w:r>
        <w:t xml:space="preserve">That deferred third organizes</w:t>
      </w:r>
      <w:r>
        <w:t xml:space="preserve"> </w:t>
      </w:r>
      <w:r>
        <w:rPr>
          <w:i/>
          <w:iCs/>
        </w:rPr>
        <w:t xml:space="preserve">Slacker</w:t>
      </w:r>
      <w:r>
        <w:t xml:space="preserve"> </w:t>
      </w:r>
      <w:r>
        <w:t xml:space="preserve">from the first cut. Linklater himself rides in from the overnight bus, credited only as the man who should have stayed at bus station, and from a taxi he talks through a dream where nothing happened, then a theory that every thought of an unchosen path keeps going as its own reality. At the station he almost skipped the cab; in that life a woman picks him up and he moves in. The driver never answers, and he never seems to notice. He closes on the credit’s regret. The sequence places him walking from the cab onto a street where a woman lies struck. A jogger, still jogging in place, barks not to touch her. Someone goes for help. A man who pulled over asks if he is needed, hears no, then presses his card on the jogger anyway:</w:t>
      </w:r>
      <w:r>
        <w:t xml:space="preserve"> </w:t>
      </w:r>
      <w:r>
        <w:t xml:space="preserve">“Take my card. Give me a call. … I’d like to hear from you. I mean it.”</w:t>
      </w:r>
      <w:r>
        <w:rPr>
          <w:rStyle w:val="FootnoteReference"/>
        </w:rPr>
        <w:footnoteReference w:id="17"/>
      </w:r>
      <w:r>
        <w:t xml:space="preserve"> </w:t>
      </w:r>
      <w:r>
        <w:t xml:space="preserve">She wants nothing. He drives off before the police arrive. The camera leaves the body and follows the driver who did it into a house; officers take him for running over his mother. Between taxi talk and street there is no spoken bridge. What joins those beats is only the city and the cut, plus a rhyme no character notices: the dream’s someone getting run over landing on the son’s crime. No one brokers the sequence as a plot. Neither the sidewalk nor the cut names a known pair.</w:t>
      </w:r>
    </w:p>
    <w:p>
      <w:pPr>
        <w:pStyle w:val="BodyText"/>
      </w:pPr>
      <w:r>
        <w:t xml:space="preserve">Analysts must keep reach and selection apart, or</w:t>
      </w:r>
      <w:r>
        <w:t xml:space="preserve"> </w:t>
      </w:r>
      <w:r>
        <w:t xml:space="preserve">“platform”</w:t>
      </w:r>
      <w:r>
        <w:t xml:space="preserve"> </w:t>
      </w:r>
      <w:r>
        <w:t xml:space="preserve">collapses into anything that joins people. Reach is the environment that holds people where they can summon one another without naming which two will meet. In the film that environment is the sidewalk and the city; later it is the app’s pool of users. Selection is the choice of who comes next for a viewer or a user. In the film that choice is the cut; later it is the feed. The cut selects for a viewer who is party to nothing on screen. The feed selects for the parties themselves, assigning a driver or a title to someone inside the system. What platforms inherited is the pairing of those two functions, not who selection chooses for. In the film the city holds people in reach and the camera selects among them. That division of labor is already the platform shape, before one system did both.</w:t>
      </w:r>
    </w:p>
    <w:bookmarkEnd w:id="18"/>
    <w:bookmarkStart w:id="27" w:name="membership-without-meeting-1913"/>
    <w:p>
      <w:pPr>
        <w:pStyle w:val="Heading2"/>
      </w:pPr>
      <w:r>
        <w:t xml:space="preserve">3. Membership without meeting (1913)</w:t>
      </w:r>
    </w:p>
    <w:p>
      <w:pPr>
        <w:pStyle w:val="FirstParagraph"/>
      </w:pPr>
      <w:r>
        <w:t xml:space="preserve">Strangers can share a city under a deferred third and still leave open whether they take that day as theirs. Simmel’s invisible church points at belonging and then falls with the undeveloped case. Royce wrote the members’-side account in 1913. A community of memory, he says, takes shape when each of its members</w:t>
      </w:r>
      <w:r>
        <w:t xml:space="preserve"> </w:t>
      </w:r>
      <w:r>
        <w:t xml:space="preserve">“accepts as part of his own individual life and self the same past events that each of his fellow-members accepts”</w:t>
      </w:r>
      <w:r>
        <w:t xml:space="preserve">; a community of expectation, by the same relation to shared future events.</w:t>
      </w:r>
      <w:r>
        <w:rPr>
          <w:rStyle w:val="FootnoteReference"/>
        </w:rPr>
        <w:footnoteReference w:id="19"/>
      </w:r>
      <w:r>
        <w:t xml:space="preserve"> </w:t>
      </w:r>
      <w:r>
        <w:t xml:space="preserve">His example is two Maori, each of whom says that he came over in the canoe Tai-Nui. They form a community on that past even if, as Royce adds,</w:t>
      </w:r>
      <w:r>
        <w:t xml:space="preserve"> </w:t>
      </w:r>
      <w:r>
        <w:t xml:space="preserve">“Each may keep aloof from the other. They may be enemies.”</w:t>
      </w:r>
      <w:r>
        <w:rPr>
          <w:rStyle w:val="FootnoteReference"/>
        </w:rPr>
        <w:footnoteReference w:id="20"/>
      </w:r>
      <w:r>
        <w:t xml:space="preserve"> </w:t>
      </w:r>
      <w:r>
        <w:t xml:space="preserve">The present consciousnesses need not interpenetrate. Shared relation to an outside past or future is not enough by itself: Royce also requires communicable contemporaries, generally engaged in communication.</w:t>
      </w:r>
      <w:r>
        <w:rPr>
          <w:rStyle w:val="FootnoteReference"/>
        </w:rPr>
        <w:footnoteReference w:id="21"/>
      </w:r>
      <w:r>
        <w:t xml:space="preserve"> </w:t>
      </w:r>
      <w:r>
        <w:t xml:space="preserve">Under that standard, strangers who only share a city remain candidates until they take that day as theirs.</w:t>
      </w:r>
    </w:p>
    <w:p>
      <w:pPr>
        <w:pStyle w:val="BodyText"/>
      </w:pPr>
      <w:r>
        <w:t xml:space="preserve">A cut could still be montage, an aesthetic succession, and not a coordinating act. Royce held that interpretation takes three terms.</w:t>
      </w:r>
      <w:r>
        <w:t xml:space="preserve"> </w:t>
      </w:r>
      <w:r>
        <w:t xml:space="preserve">“Interpretation always involves a relation of three terms,”</w:t>
      </w:r>
      <w:r>
        <w:t xml:space="preserve"> </w:t>
      </w:r>
      <w:r>
        <w:t xml:space="preserve">he wrote.</w:t>
      </w:r>
      <w:r>
        <w:t xml:space="preserve"> </w:t>
      </w:r>
      <w:r>
        <w:t xml:space="preserve">“In the technical phrase, interpretation is a triadic relation.”</w:t>
      </w:r>
      <w:r>
        <w:t xml:space="preserve"> </w:t>
      </w:r>
      <w:r>
        <w:t xml:space="preserve">That is, you cannot express any complete process of interpreting by merely naming two terms and then telling what dyadic relation exists between one and the other.</w:t>
      </w:r>
      <w:r>
        <w:rPr>
          <w:rStyle w:val="FootnoteReference"/>
        </w:rPr>
        <w:footnoteReference w:id="22"/>
      </w:r>
      <w:r>
        <w:t xml:space="preserve"> </w:t>
      </w:r>
      <w:r>
        <w:t xml:space="preserve">Two dyads laid end to end are not a triad.</w:t>
      </w:r>
      <w:r>
        <w:rPr>
          <w:rStyle w:val="FootnoteReference"/>
        </w:rPr>
        <w:footnoteReference w:id="23"/>
      </w:r>
      <w:r>
        <w:t xml:space="preserve"> </w:t>
      </w:r>
      <w:r>
        <w:t xml:space="preserve">A camera that sequences strangers for a viewer occupies the interpreter’s place. It takes one party’s situation as its object and addresses another party, the viewer, with a next encounter. Royce required communication among living members beyond a shared past,</w:t>
      </w:r>
      <w:r>
        <w:rPr>
          <w:rStyle w:val="FootnoteReference"/>
        </w:rPr>
        <w:footnoteReference w:id="24"/>
      </w:r>
      <w:r>
        <w:t xml:space="preserve"> </w:t>
      </w:r>
      <w:r>
        <w:t xml:space="preserve">and for him all three terms are selves.</w:t>
      </w:r>
      <w:r>
        <w:rPr>
          <w:rStyle w:val="FootnoteReference"/>
        </w:rPr>
        <w:footnoteReference w:id="25"/>
      </w:r>
      <w:r>
        <w:t xml:space="preserve"> </w:t>
      </w:r>
      <w:r>
        <w:t xml:space="preserve">Reading a camera as interpreter therefore goes beyond him; that extension is mine.</w:t>
      </w:r>
      <w:r>
        <w:rPr>
          <w:rStyle w:val="FootnoteReference"/>
        </w:rPr>
        <w:footnoteReference w:id="26"/>
      </w:r>
      <w:r>
        <w:t xml:space="preserve"> </w:t>
      </w:r>
      <w:r>
        <w:t xml:space="preserve">I extend Royce because the cut selects who comes next for a viewer who never meets the people on screen.</w:t>
      </w:r>
    </w:p>
    <w:p>
      <w:pPr>
        <w:pStyle w:val="BodyText"/>
      </w:pPr>
      <w:r>
        <w:t xml:space="preserve">Reach without selection is already on the street before anyone takes the day as theirs. In a café later identified as Captain Quackenbush’s on the Drag, a man Linklater cast from a former roommate dictates aphorisms as Dostoyevsky to a companion cast as Anna on</w:t>
      </w:r>
      <w:r>
        <w:t xml:space="preserve"> </w:t>
      </w:r>
      <w:r>
        <w:rPr>
          <w:i/>
          <w:iCs/>
        </w:rPr>
        <w:t xml:space="preserve">The Gambler</w:t>
      </w:r>
      <w:r>
        <w:t xml:space="preserve">: the immense effort required not to create; passivity as a route to freedom. A passerby breaks in—</w:t>
      </w:r>
      <w:r>
        <w:t xml:space="preserve">“You seen Gary around?”</w:t>
      </w:r>
      <w:r>
        <w:t xml:space="preserve">—hears that no one has seen him for months, and leaves without an answer. Outside, another man has overheard. He latches on and will not let go: suppressed moon transmissions, Mars since ’62, a rain-forest drug that leaves</w:t>
      </w:r>
      <w:r>
        <w:t xml:space="preserve"> </w:t>
      </w:r>
      <w:r>
        <w:t xml:space="preserve">“perfect employees,”</w:t>
      </w:r>
      <w:r>
        <w:t xml:space="preserve"> </w:t>
      </w:r>
      <w:r>
        <w:t xml:space="preserve">Gary maybe already recruited. The asker peels off toward a friend’s place; the talker waits outside to make sure they were not followed, then stops a second stranger—</w:t>
      </w:r>
      <w:r>
        <w:t xml:space="preserve">“Just a little security check. There’ve been some people missing”</w:t>
      </w:r>
      <w:r>
        <w:t xml:space="preserve">—and waves him on:</w:t>
      </w:r>
      <w:r>
        <w:t xml:space="preserve"> </w:t>
      </w:r>
      <w:r>
        <w:t xml:space="preserve">“You’re in a hurry. That makes perfect sense.”</w:t>
      </w:r>
      <w:r>
        <w:t xml:space="preserve"> </w:t>
      </w:r>
      <w:r>
        <w:t xml:space="preserve">Gary never appears. Neither man takes that absence into his own life as Royce’s appropriation demands; the talker spends it as conspiracy fuel. The street made both openings possible by holding strangers in reach; it did not choose which of them would meet.</w:t>
      </w:r>
    </w:p>
    <w:bookmarkEnd w:id="27"/>
    <w:bookmarkStart w:id="34" w:name="grants-and-powers-1964"/>
    <w:p>
      <w:pPr>
        <w:pStyle w:val="Heading2"/>
      </w:pPr>
      <w:r>
        <w:t xml:space="preserve">4. Grants and powers (1964)</w:t>
      </w:r>
    </w:p>
    <w:p>
      <w:pPr>
        <w:pStyle w:val="FirstParagraph"/>
      </w:pPr>
      <w:r>
        <w:t xml:space="preserve">A deferred third can set a price, judge a name against a list, put someone out, and refuse to say why. At the Blue Bayou on South Congress, the credit will name him S-T-E-V-E With A Van. Steve has already sold the night: roommate’s band, his real van, a guest list he made the roommate write. In the car he talks ants and how women are from hell; at the curb he claims the club keeps a spot for him because he is</w:t>
      </w:r>
      <w:r>
        <w:t xml:space="preserve"> </w:t>
      </w:r>
      <w:r>
        <w:t xml:space="preserve">“tight.”</w:t>
      </w:r>
      <w:r>
        <w:t xml:space="preserve"> </w:t>
      </w:r>
      <w:r>
        <w:t xml:space="preserve">Then the door prices him:</w:t>
      </w:r>
      <w:r>
        <w:t xml:space="preserve"> </w:t>
      </w:r>
      <w:r>
        <w:t xml:space="preserve">“Three dollars.”</w:t>
      </w:r>
      <w:r>
        <w:t xml:space="preserve"> </w:t>
      </w:r>
      <w:r>
        <w:t xml:space="preserve">He spells it—</w:t>
      </w:r>
      <w:r>
        <w:t xml:space="preserve">“S-T-E-V-E. Steve plus three or four”</w:t>
      </w:r>
      <w:r>
        <w:t xml:space="preserve">—and the doorman refuses him:</w:t>
      </w:r>
      <w:r>
        <w:t xml:space="preserve"> </w:t>
      </w:r>
      <w:r>
        <w:t xml:space="preserve">“Sorry, Steve. Don’t see you.”</w:t>
      </w:r>
      <w:r>
        <w:t xml:space="preserve"> </w:t>
      </w:r>
      <w:r>
        <w:t xml:space="preserve">“Fuck. I’m not on the list.”</w:t>
      </w:r>
      <w:r>
        <w:t xml:space="preserve"> </w:t>
      </w:r>
      <w:r>
        <w:t xml:space="preserve">“Figures.”</w:t>
      </w:r>
      <w:r>
        <w:t xml:space="preserve"> </w:t>
      </w:r>
      <w:r>
        <w:t xml:space="preserve">Some pay or peel off; the boast dies on the sidewalk. I call those acts the powers of a deferred third over a dependent party. The taxonomy is mine, taken from the door; it is not Reich’s. Reich named the legal form of the dependence behind those powers twenty-six years before the film. A grantor holds access as a grant: that grantor issues permission and can revoke it. The holder does not own access as alienable property.</w:t>
      </w:r>
      <w:r>
        <w:rPr>
          <w:rStyle w:val="FootnoteReference"/>
        </w:rPr>
        <w:footnoteReference w:id="28"/>
      </w:r>
    </w:p>
    <w:p>
      <w:pPr>
        <w:pStyle w:val="BodyText"/>
      </w:pPr>
      <w:r>
        <w:t xml:space="preserve">Without a stated reason he cannot contest price, evaluation, or removal, which is why withholding the reason locks the other three powers in place.</w:t>
      </w:r>
    </w:p>
    <w:p>
      <w:pPr>
        <w:pStyle w:val="BodyText"/>
      </w:pPr>
      <w:r>
        <w:t xml:space="preserve">The door also names a cover out loud at five dollars. Outside that door a man offers a hand stamp—</w:t>
      </w:r>
      <w:r>
        <w:t xml:space="preserve">“I got a stamp. I think I can, you know, get you in”</w:t>
      </w:r>
      <w:r>
        <w:t xml:space="preserve">—and demonstrates a transfer Austin audiences later recognized as local cheat-code: lick the wrist, press the ink.</w:t>
      </w:r>
      <w:r>
        <w:rPr>
          <w:rStyle w:val="FootnoteReference"/>
        </w:rPr>
        <w:footnoteReference w:id="29"/>
      </w:r>
      <w:r>
        <w:t xml:space="preserve"> </w:t>
      </w:r>
      <w:r>
        <w:t xml:space="preserve">“No, man. I don’t want him licking my arm.”</w:t>
      </w:r>
      <w:r>
        <w:t xml:space="preserve"> </w:t>
      </w:r>
      <w:r>
        <w:t xml:space="preserve">They do it anyway and walk in free. The stamp is property you can show and copy. The guest list was a grant only the door’s record could confirm. At 2:00 a.m. the room empties on a spoken rule:</w:t>
      </w:r>
      <w:r>
        <w:t xml:space="preserve"> </w:t>
      </w:r>
      <w:r>
        <w:t xml:space="preserve">“It’s past 2:00. Everybody out. … You gotta be somewhere. You can’t be here. And I wanna go home.”</w:t>
      </w:r>
      <w:r>
        <w:t xml:space="preserve"> </w:t>
      </w:r>
      <w:r>
        <w:t xml:space="preserve">Through all of it the door arranges no meeting as a known pair. Powers can attach to a deferred third without turning that third into a broker. Later platforms do the same when they control access. They price a ride, rate a driver, or remove a title, and still arrange no meeting as a known pair.</w:t>
      </w:r>
    </w:p>
    <w:p>
      <w:pPr>
        <w:pStyle w:val="BodyText"/>
      </w:pPr>
      <w:r>
        <w:t xml:space="preserve">Reich also named the historical shift in how holders hold access itself, and that shift is what makes the guest list and the stamp two regimes of access, not two local door practices. Valuables had moved from ownership into grants; the holder faces a counterparty that writes the terms, changes them, decides disputes in its own forum, and owes no procedure.</w:t>
      </w:r>
      <w:r>
        <w:t xml:space="preserve"> </w:t>
      </w:r>
      <w:r>
        <w:t xml:space="preserve">“The granting, regulation, and revocation of government largess,”</w:t>
      </w:r>
      <w:r>
        <w:t xml:space="preserve"> </w:t>
      </w:r>
      <w:r>
        <w:t xml:space="preserve">he wrote,</w:t>
      </w:r>
      <w:r>
        <w:t xml:space="preserve"> </w:t>
      </w:r>
      <w:r>
        <w:t xml:space="preserve">“is carried on by procedures which, in varying degrees, represent short-cuts that tend to augment the power of the grantor at the expense of the recipient.”</w:t>
      </w:r>
      <w:r>
        <w:rPr>
          <w:rStyle w:val="FootnoteReference"/>
        </w:rPr>
        <w:footnoteReference w:id="30"/>
      </w:r>
      <w:r>
        <w:t xml:space="preserve"> </w:t>
      </w:r>
      <w:r>
        <w:t xml:space="preserve">Courts moved first where livelihood was at stake, on interests</w:t>
      </w:r>
      <w:r>
        <w:t xml:space="preserve"> </w:t>
      </w:r>
      <w:r>
        <w:t xml:space="preserve">“intimately bound up with the individual’s freedom to earn a living.”</w:t>
      </w:r>
      <w:r>
        <w:rPr>
          <w:rStyle w:val="FootnoteReference"/>
        </w:rPr>
        <w:footnoteReference w:id="31"/>
      </w:r>
      <w:r>
        <w:t xml:space="preserve"> </w:t>
      </w:r>
      <w:r>
        <w:t xml:space="preserve">His prescription, which is not a fourth structural power in the reception, demands that denials without disclosed grounds</w:t>
      </w:r>
      <w:r>
        <w:t xml:space="preserve"> </w:t>
      </w:r>
      <w:r>
        <w:t xml:space="preserve">“should no longer be tolerated.”</w:t>
      </w:r>
      <w:r>
        <w:rPr>
          <w:rStyle w:val="FootnoteReference"/>
        </w:rPr>
        <w:footnoteReference w:id="32"/>
      </w:r>
      <w:r>
        <w:t xml:space="preserve"> </w:t>
      </w:r>
      <w:r>
        <w:t xml:space="preserve">Platform access keeps the grant structure and loses the stamp’s transferable demonstration, so strangers can no longer copy access between themselves. Reich later argued that large private organizations raise the same issues; I carry that private-door structure to the film and to later platforms.</w:t>
      </w:r>
      <w:r>
        <w:rPr>
          <w:rStyle w:val="FootnoteReference"/>
        </w:rPr>
        <w:footnoteReference w:id="33"/>
      </w:r>
    </w:p>
    <w:p>
      <w:pPr>
        <w:pStyle w:val="BodyText"/>
      </w:pPr>
      <w:r>
        <w:t xml:space="preserve">By 1964, then, writers already had on the page the structure of the deferred third, the membership conditions under it, and the grant form of access. Nobody had yet said that platforms coordinate by co-opting, or built a single system that would gather all four powers and remove anyone to whom one could still argue. Linklater shot</w:t>
      </w:r>
      <w:r>
        <w:t xml:space="preserve"> </w:t>
      </w:r>
      <w:r>
        <w:rPr>
          <w:i/>
          <w:iCs/>
        </w:rPr>
        <w:t xml:space="preserve">Slacker</w:t>
      </w:r>
      <w:r>
        <w:t xml:space="preserve"> </w:t>
      </w:r>
      <w:r>
        <w:t xml:space="preserve">in that interval, when people could still speak the form at a door and software had not yet gathered it.</w:t>
      </w:r>
    </w:p>
    <w:bookmarkEnd w:id="34"/>
    <w:bookmarkStart w:id="37" w:name="the-interval-a-city-and-a-camera-1990"/>
    <w:p>
      <w:pPr>
        <w:pStyle w:val="Heading2"/>
      </w:pPr>
      <w:r>
        <w:t xml:space="preserve">5. The interval: a city and a camera (1990)</w:t>
      </w:r>
    </w:p>
    <w:p>
      <w:pPr>
        <w:pStyle w:val="FirstParagraph"/>
      </w:pPr>
      <w:r>
        <w:t xml:space="preserve">The film can show a third that brokers no meetings only where strangers are thick on the ground and work has not already bound them into a firm. A workplace day would sound like hierarchy and payroll.</w:t>
      </w:r>
      <w:r>
        <w:t xml:space="preserve"> </w:t>
      </w:r>
      <w:r>
        <w:rPr>
          <w:i/>
          <w:iCs/>
        </w:rPr>
        <w:t xml:space="preserve">Slacker</w:t>
      </w:r>
      <w:r>
        <w:t xml:space="preserve"> </w:t>
      </w:r>
      <w:r>
        <w:t xml:space="preserve">shows a city that holds people available and puts none of them on one payroll.</w:t>
      </w:r>
    </w:p>
    <w:p>
      <w:pPr>
        <w:pStyle w:val="BodyText"/>
      </w:pPr>
      <w:r>
        <w:t xml:space="preserve">A silent taxi driver carries Linklater’s monologue. The café and the door price, refuse, and empty a room. Kids hawk Cokes on the street; a man sells T-shirts and magazines; officers arrest the hit-and-run son. Around them people pitch, latch on, trade a lift or a stamp, and peel off. Nobody clocks in for the day the camera follows. The sidewalk supplies reach; it does not hire the strangers it holds. Erickson and Long read the film as identity and place-myth.</w:t>
      </w:r>
      <w:r>
        <w:rPr>
          <w:rStyle w:val="FootnoteReference"/>
        </w:rPr>
        <w:footnoteReference w:id="35"/>
      </w:r>
      <w:r>
        <w:t xml:space="preserve"> </w:t>
      </w:r>
      <w:r>
        <w:t xml:space="preserve">If later audiences take that filmed past as their own, they can meet a community of memory; that Roycean join is mine, and the myth is still not the sidewalk or cut.</w:t>
      </w:r>
      <w:r>
        <w:rPr>
          <w:rStyle w:val="FootnoteReference"/>
        </w:rPr>
        <w:footnoteReference w:id="36"/>
      </w:r>
    </w:p>
    <w:p>
      <w:pPr>
        <w:pStyle w:val="BodyText"/>
      </w:pPr>
      <w:r>
        <w:t xml:space="preserve">Digital platforms later fuse reach and selection in one apparatus, so a single system both holds users available and chooses who meets whom. The film keeps those functions apart, which is why it can teach the shape of platform sequencing before one machine fused them. Early on, the cut does most of the joining. A missing-friend question on the sidewalk pulls a conspiracy monologue into the frame. A friend breaks a voting rant to say Paul vanished, then invites</w:t>
      </w:r>
      <w:r>
        <w:t xml:space="preserve"> </w:t>
      </w:r>
      <w:r>
        <w:t xml:space="preserve">“Why don’t you come look? It’s really weird.”</w:t>
      </w:r>
      <w:r>
        <w:t xml:space="preserve"> </w:t>
      </w:r>
      <w:r>
        <w:t xml:space="preserve">In the middle, characters take over the joins with things they can hand over and say aloud: a lift after a junkyard parts run (</w:t>
      </w:r>
      <w:r>
        <w:t xml:space="preserve">“How about a lift back into town?”</w:t>
      </w:r>
      <w:r>
        <w:t xml:space="preserve">), an address to the Video Backpacker after a burglary that scored de Sade instead of a TV (</w:t>
      </w:r>
      <w:r>
        <w:t xml:space="preserve">“The address, man. Take me there”</w:t>
      </w:r>
      <w:r>
        <w:t xml:space="preserve">), Steve’s van (</w:t>
      </w:r>
      <w:r>
        <w:t xml:space="preserve">“Do I have a car? I have a van”</w:t>
      </w:r>
      <w:r>
        <w:t xml:space="preserve">), the stamp, and, at the party, the PixelVision camera:</w:t>
      </w:r>
      <w:r>
        <w:t xml:space="preserve"> </w:t>
      </w:r>
      <w:r>
        <w:t xml:space="preserve">“Shoot whatever you want. Pass it around … But I want my camera back, all right?”</w:t>
      </w:r>
      <w:r>
        <w:t xml:space="preserve"> </w:t>
      </w:r>
      <w:r>
        <w:t xml:space="preserve">By dawn the cut resumes with</w:t>
      </w:r>
      <w:r>
        <w:t xml:space="preserve"> </w:t>
      </w:r>
      <w:r>
        <w:t xml:space="preserve">“Wake up, America”</w:t>
      </w:r>
      <w:r>
        <w:t xml:space="preserve"> </w:t>
      </w:r>
      <w:r>
        <w:t xml:space="preserve">from a car, a tape weapons rant, then a wordless Super-8 toss at Mount Bonnell. When the cut joins scenes, there is nothing to hand over and no one to address. Selection continues even when no one can say the handoff aloud. Reach still holds from first frame to last, but who does the joining shifts from character to cut, and the later stretch sequences encounters without spoken links, as a feed does.</w:t>
      </w:r>
    </w:p>
    <w:bookmarkEnd w:id="37"/>
    <w:bookmarkStart w:id="46" w:name="co-optation-2020"/>
    <w:p>
      <w:pPr>
        <w:pStyle w:val="Heading2"/>
      </w:pPr>
      <w:r>
        <w:t xml:space="preserve">6. Co-optation (2020)</w:t>
      </w:r>
    </w:p>
    <w:p>
      <w:pPr>
        <w:pStyle w:val="FirstParagraph"/>
      </w:pPr>
      <w:r>
        <w:t xml:space="preserve">Steve at the door is not a customer, an employee, or a collaborator. Markets coordinate by contract, hierarchies by command, networks by collaboration. Stark and Pais add a fourth mode: in the triangular relationship of owner, provider, and user, platform owners co-opt the behavior of the other two sides, enrolling them in the practices of algorithmic management without anyone having delegated managerial authority to them.</w:t>
      </w:r>
      <w:r>
        <w:rPr>
          <w:rStyle w:val="FootnoteReference"/>
        </w:rPr>
        <w:footnoteReference w:id="38"/>
      </w:r>
      <w:r>
        <w:t xml:space="preserve"> </w:t>
      </w:r>
      <w:r>
        <w:t xml:space="preserve">No one had that description in hand in 1990. Enrollment without employment already showed at the party and at the door; algorithmic management is the later addition.</w:t>
      </w:r>
    </w:p>
    <w:p>
      <w:pPr>
        <w:pStyle w:val="BodyText"/>
      </w:pPr>
      <w:r>
        <w:t xml:space="preserve">At the party, just after the stamp gets them in, someone hands off a PixelVision toy camera for</w:t>
      </w:r>
      <w:r>
        <w:t xml:space="preserve"> </w:t>
      </w:r>
      <w:r>
        <w:t xml:space="preserve">“a project,”</w:t>
      </w:r>
      <w:r>
        <w:t xml:space="preserve"> </w:t>
      </w:r>
      <w:r>
        <w:t xml:space="preserve">terms spoken aloud: shoot whatever you want, pass it around, but I want it back. People join without being hired; the owner can still enforce face to face. Beside them a Freemason rant; a heckler says there is no film in that shit. Then the room empties on the 2:00 rule. A licensing page keeps that same structure of contribution without employment, and removes the person to whom one could argue. Amazon’s Prime Video page says removed titles</w:t>
      </w:r>
      <w:r>
        <w:t xml:space="preserve"> </w:t>
      </w:r>
      <w:r>
        <w:t xml:space="preserve">“may not be resubmitted or appealed,”</w:t>
      </w:r>
      <w:r>
        <w:t xml:space="preserve"> </w:t>
      </w:r>
      <w:r>
        <w:t xml:space="preserve">that selection is at Prime Video’s sole discretion, and that the company</w:t>
      </w:r>
      <w:r>
        <w:t xml:space="preserve"> </w:t>
      </w:r>
      <w:r>
        <w:t xml:space="preserve">“cannot provide additional details about why any specific title was or was not selected.”</w:t>
      </w:r>
      <w:r>
        <w:rPr>
          <w:rStyle w:val="FootnoteReference"/>
        </w:rPr>
        <w:footnoteReference w:id="39"/>
      </w:r>
      <w:r>
        <w:t xml:space="preserve"> </w:t>
      </w:r>
      <w:r>
        <w:t xml:space="preserve">Prime Video issues a determination and withholds its grounds. On algorithmic feedback more generally, Stark and Pais note that parties can deflect and deny accountability. Prime Video judges live titles on engagement metrics and can remove weak performers. Rideshare Drivers United and the Asian Law Caucus surveyed 810 California drivers. Two-thirds reported deactivation, and 30 percent of those received no reason.</w:t>
      </w:r>
      <w:r>
        <w:rPr>
          <w:rStyle w:val="FootnoteReference"/>
        </w:rPr>
        <w:footnoteReference w:id="40"/>
      </w:r>
      <w:r>
        <w:t xml:space="preserve"> </w:t>
      </w:r>
      <w:r>
        <w:t xml:space="preserve">Drivers on the app, like people at that party, contribute without being hired. The difference is that the platform has removed anyone who could answer, and no one passing the toy camera could have known the later institutional name for what they were doing.</w:t>
      </w:r>
    </w:p>
    <w:p>
      <w:pPr>
        <w:pStyle w:val="BodyText"/>
      </w:pPr>
      <w:r>
        <w:t xml:space="preserve">Someone staffs the taxi, the counter, and the door. The sidewalk holds people in reach without hiring them. Price, evaluation, and removal at those posts draw nightlife and attention into the day’s coordination without putting the people the city holds on payroll. That is enrollment without employment. Algorithmic management is the later addition.</w:t>
      </w:r>
    </w:p>
    <w:p>
      <w:pPr>
        <w:pStyle w:val="BodyText"/>
      </w:pPr>
      <w:r>
        <w:t xml:space="preserve">Intermediacy alone does not make an electronic third a platform of the</w:t>
      </w:r>
      <w:r>
        <w:t xml:space="preserve"> </w:t>
      </w:r>
      <w:r>
        <w:rPr>
          <w:i/>
          <w:iCs/>
        </w:rPr>
        <w:t xml:space="preserve">Slacker</w:t>
      </w:r>
      <w:r>
        <w:t xml:space="preserve"> </w:t>
      </w:r>
      <w:r>
        <w:t xml:space="preserve">kind, because standing between people does not entail the power to withhold a reason. In the three years after the film’s release, the interdealer currency market, the screens professional traders use to match one another, built Reuters Dealing 2000-2 and EBS.</w:t>
      </w:r>
      <w:r>
        <w:rPr>
          <w:rStyle w:val="FootnoteReference"/>
        </w:rPr>
        <w:footnoteReference w:id="41"/>
      </w:r>
      <w:r>
        <w:t xml:space="preserve"> </w:t>
      </w:r>
      <w:r>
        <w:t xml:space="preserve">Those venues are third parties in the strict sense, standing between traders without themselves buying or selling; they are not counterparties to the trades.</w:t>
      </w:r>
      <w:r>
        <w:rPr>
          <w:rStyle w:val="FootnoteReference"/>
        </w:rPr>
        <w:footnoteReference w:id="42"/>
      </w:r>
      <w:r>
        <w:t xml:space="preserve"> </w:t>
      </w:r>
      <w:r>
        <w:t xml:space="preserve">Liquidity concentrated on one venue per currency pair.</w:t>
      </w:r>
      <w:r>
        <w:rPr>
          <w:rStyle w:val="FootnoteReference"/>
        </w:rPr>
        <w:footnoteReference w:id="43"/>
      </w:r>
      <w:r>
        <w:t xml:space="preserve"> </w:t>
      </w:r>
      <w:r>
        <w:t xml:space="preserve">Dealers also traded directly, so the venues do not join people who would otherwise never meet. The same firm can owe written reasons under one rulebook and act in</w:t>
      </w:r>
      <w:r>
        <w:t xml:space="preserve"> </w:t>
      </w:r>
      <w:r>
        <w:t xml:space="preserve">“sole discretion”</w:t>
      </w:r>
      <w:r>
        <w:t xml:space="preserve"> </w:t>
      </w:r>
      <w:r>
        <w:t xml:space="preserve">under another.</w:t>
      </w:r>
      <w:r>
        <w:rPr>
          <w:rStyle w:val="FootnoteReference"/>
        </w:rPr>
        <w:footnoteReference w:id="44"/>
      </w:r>
      <w:r>
        <w:t xml:space="preserve"> </w:t>
      </w:r>
      <w:r>
        <w:t xml:space="preserve">The four powers therefore attach by rule, not by the mere fact of standing between people; digital platforms harden those attachments into default software and do not invent the underlying form.</w:t>
      </w:r>
    </w:p>
    <w:p>
      <w:pPr>
        <w:pStyle w:val="BodyText"/>
      </w:pPr>
      <w:r>
        <w:t xml:space="preserve">Some thirds sit between parties whom the law bars from dealing with each other. Formal models of that case ask a counterfactual: if someone lifted the ban, would coordination still need the third, or would direct dealing replace it?</w:t>
      </w:r>
      <w:r>
        <w:rPr>
          <w:rStyle w:val="FootnoteReference"/>
        </w:rPr>
        <w:footnoteReference w:id="45"/>
      </w:r>
      <w:r>
        <w:t xml:space="preserve"> </w:t>
      </w:r>
      <w:r>
        <w:t xml:space="preserve">The deferred third has no such test. Nobody ever banned its neighbors from meeting; they simply never met, which is why the counterfactual that classifies banned-edge intermediaries cannot classify Austin’s sidewalk or the film’s cut.</w:t>
      </w:r>
    </w:p>
    <w:bookmarkEnd w:id="46"/>
    <w:bookmarkStart w:id="48" w:name="loyalty-rewind-and-assent"/>
    <w:p>
      <w:pPr>
        <w:pStyle w:val="Heading2"/>
      </w:pPr>
      <w:r>
        <w:t xml:space="preserve">7. Loyalty, rewind, and assent</w:t>
      </w:r>
    </w:p>
    <w:p>
      <w:pPr>
        <w:pStyle w:val="FirstParagraph"/>
      </w:pPr>
      <w:r>
        <w:t xml:space="preserve">Royce’s demand for loyalty blocks treating a platform as</w:t>
      </w:r>
      <w:r>
        <w:t xml:space="preserve"> </w:t>
      </w:r>
      <w:r>
        <w:rPr>
          <w:i/>
          <w:iCs/>
        </w:rPr>
        <w:t xml:space="preserve">genuine</w:t>
      </w:r>
      <w:r>
        <w:t xml:space="preserve"> </w:t>
      </w:r>
      <w:r>
        <w:t xml:space="preserve">community. Loyalty makes a shared past</w:t>
      </w:r>
      <w:r>
        <w:t xml:space="preserve"> </w:t>
      </w:r>
      <w:r>
        <w:rPr>
          <w:i/>
          <w:iCs/>
        </w:rPr>
        <w:t xml:space="preserve">mine</w:t>
      </w:r>
      <w:r>
        <w:t xml:space="preserve">; it constitutes conscious community rather than a fourth condition of thin memory community.</w:t>
      </w:r>
      <w:r>
        <w:rPr>
          <w:rStyle w:val="FootnoteReference"/>
        </w:rPr>
        <w:footnoteReference w:id="47"/>
      </w:r>
      <w:r>
        <w:t xml:space="preserve"> </w:t>
      </w:r>
      <w:r>
        <w:t xml:space="preserve">A platform can host logs and still fail appropriation and loyalty. Outside Les Amis a hitchhiker fresh from his stepfather’s funeral, credited as awaiting the</w:t>
      </w:r>
      <w:r>
        <w:t xml:space="preserve"> </w:t>
      </w:r>
      <w:r>
        <w:t xml:space="preserve">“true call,”</w:t>
      </w:r>
      <w:r>
        <w:t xml:space="preserve"> </w:t>
      </w:r>
      <w:r>
        <w:t xml:space="preserve">faces a diegetic camera crew and will take a job only</w:t>
      </w:r>
      <w:r>
        <w:t xml:space="preserve"> </w:t>
      </w:r>
      <w:r>
        <w:t xml:space="preserve">“when I hear the true call,”</w:t>
      </w:r>
      <w:r>
        <w:t xml:space="preserve"> </w:t>
      </w:r>
      <w:r>
        <w:t xml:space="preserve">then refuses to say what that is. He adds that every commodity workers produce is a piece of their own death, and ends the interview. Royce’s memory community needs selves that extend past the present, communication among contemporaries, and shared past events each member takes as part of a life. Permanence of record does not make a platform more secure than a city on those conditions. Sharing Austin for a day is not yet taking that past as loyalty. Users who share logs and ratings they did not author share a recorded past, not a life they take as their own.</w:t>
      </w:r>
    </w:p>
    <w:p>
      <w:pPr>
        <w:pStyle w:val="BodyText"/>
      </w:pPr>
      <w:r>
        <w:t xml:space="preserve">The Video Backpacker, in a room of sets he</w:t>
      </w:r>
      <w:r>
        <w:t xml:space="preserve"> </w:t>
      </w:r>
      <w:r>
        <w:t xml:space="preserve">“rotates,”</w:t>
      </w:r>
      <w:r>
        <w:t xml:space="preserve"> </w:t>
      </w:r>
      <w:r>
        <w:t xml:space="preserve">argues that a video image is more powerful than an actual event: he once saw a stabbing and now</w:t>
      </w:r>
      <w:r>
        <w:t xml:space="preserve"> </w:t>
      </w:r>
      <w:r>
        <w:t xml:space="preserve">“can’t press rewind,”</w:t>
      </w:r>
      <w:r>
        <w:t xml:space="preserve"> </w:t>
      </w:r>
      <w:r>
        <w:t xml:space="preserve">can’t pause, can’t fix the hue. He keeps pirate tapes and contacts. A driver cannot replay an allocation once the queue has moved. The platform keeps the past that members once kept themselves; the film states that problem as the loss of rewind. Steve’s guest list has already failed in public (</w:t>
      </w:r>
      <w:r>
        <w:t xml:space="preserve">“Fuck. I’m not on the list.”</w:t>
      </w:r>
      <w:r>
        <w:t xml:space="preserve"> </w:t>
      </w:r>
      <w:r>
        <w:t xml:space="preserve">“Figures.”</w:t>
      </w:r>
      <w:r>
        <w:t xml:space="preserve">), and the group renegotiates on the sidewalk, so refusal still requires a spoken response. An app assigns a queue spot whether or not the driver assents; he remains subject to star ratings either way. Enrollment here does not wait for his yes. Outside the platform, Rideshare Drivers United and the Asian Law Caucus organized the survey. 810 drivers answered it. That shared work answers a third that will not explain itself.</w:t>
      </w:r>
    </w:p>
    <w:p>
      <w:pPr>
        <w:pStyle w:val="BodyText"/>
      </w:pPr>
      <w:r>
        <w:t xml:space="preserve">Today’s platforms gather into one system the parts</w:t>
      </w:r>
      <w:r>
        <w:t xml:space="preserve"> </w:t>
      </w:r>
      <w:r>
        <w:rPr>
          <w:i/>
          <w:iCs/>
        </w:rPr>
        <w:t xml:space="preserve">Slacker</w:t>
      </w:r>
      <w:r>
        <w:t xml:space="preserve"> </w:t>
      </w:r>
      <w:r>
        <w:t xml:space="preserve">still keeps separate and speakable. They fuse reach with selection, hold access as grants backed by the four powers, and enroll people without leaving anyone who must explain a determination. Once no one can say the handoff aloud, the sequence is assigned elsewhere, and the people on screen no longer name the join. Between Reich and Stark the film still shows grant-access and deferred structure as separate, speakable acts. Stark and Pais later name co-optation. One apparatus later fuses the parts. Opaque determinations later require a competence the people on screen have not yet needed.</w:t>
      </w:r>
    </w:p>
    <w:bookmarkEnd w:id="48"/>
    <w:bookmarkStart w:id="50" w:name="algorithmacy"/>
    <w:p>
      <w:pPr>
        <w:pStyle w:val="Heading2"/>
      </w:pPr>
      <w:r>
        <w:t xml:space="preserve">8. Algorithmacy</w:t>
      </w:r>
    </w:p>
    <w:p>
      <w:pPr>
        <w:pStyle w:val="FirstParagraph"/>
      </w:pPr>
      <w:r>
        <w:t xml:space="preserve">Algorithmacy is the name I give here to fluency in dealing with an algorithmic third that interprets both sides and issues determinations neither side controls.</w:t>
      </w:r>
      <w:r>
        <w:rPr>
          <w:rStyle w:val="FootnoteReference"/>
        </w:rPr>
        <w:footnoteReference w:id="49"/>
      </w:r>
      <w:r>
        <w:t xml:space="preserve"> </w:t>
      </w:r>
      <w:r>
        <w:t xml:space="preserve">Simmel, Royce, Reich, and Stark and Pais describe structure, membership, grant-access, and co-optive enrollment. None names the competence those arrangements demand once reasons stop arriving with the determinations.</w:t>
      </w:r>
    </w:p>
    <w:p>
      <w:pPr>
        <w:pStyle w:val="BodyText"/>
      </w:pPr>
      <w:r>
        <w:t xml:space="preserve">People learned to live inside written institutions generations after writing technologies spread.</w:t>
      </w:r>
      <w:r>
        <w:t xml:space="preserve"> </w:t>
      </w:r>
      <w:r>
        <w:rPr>
          <w:i/>
          <w:iCs/>
        </w:rPr>
        <w:t xml:space="preserve">Slacker</w:t>
      </w:r>
      <w:r>
        <w:t xml:space="preserve"> </w:t>
      </w:r>
      <w:r>
        <w:t xml:space="preserve">stands early in the matching lag for platforms. People on screen still contest thirds they can speak: someone names a cover aloud, someone shows a stamp, someone spells a name to the person holding the list. The camera already sequences the next encounter without a spoken handoff, as a feed would. The next encounter often arrives with nothing audible crossing the seam. They still know how to argue with a door. They have not yet had to contest determinations that arrive without reasons.</w:t>
      </w:r>
    </w:p>
    <w:p>
      <w:pPr>
        <w:pStyle w:val="BodyText"/>
      </w:pPr>
      <w:r>
        <w:t xml:space="preserve">At the last door the doorman states the rule out loud and empties the room into the street. That is still a grant spoken to a face. Outside, a London photographer chasing Dairy Queens will not call herself an artist.</w:t>
      </w:r>
    </w:p>
    <w:bookmarkEnd w:id="50"/>
    <w:bookmarkStart w:id="51" w:name="bibliography"/>
    <w:p>
      <w:pPr>
        <w:pStyle w:val="Heading2"/>
      </w:pPr>
      <w:r>
        <w:t xml:space="preserve">Bibliography</w:t>
      </w:r>
    </w:p>
    <w:p>
      <w:pPr>
        <w:pStyle w:val="FirstParagraph"/>
        <w:ind w:hanging="720" w:left="720"/>
      </w:pPr>
      <w:r>
        <w:t xml:space="preserve">Amazon.com, Inc. </w:t>
      </w:r>
      <w:r>
        <w:t xml:space="preserve">“Prime Video Direct Content Providers: Licensing Consideration and Title Review.”</w:t>
      </w:r>
      <w:r>
        <w:t xml:space="preserve"> </w:t>
      </w:r>
      <w:r>
        <w:t xml:space="preserve">Prime Video Tech Docs. Last updated August 5, 2025. Accessed August 1, 2026.</w:t>
      </w:r>
    </w:p>
    <w:p>
      <w:pPr>
        <w:pStyle w:val="BodyText"/>
        <w:ind w:hanging="720" w:left="720"/>
      </w:pPr>
      <w:r>
        <w:t xml:space="preserve">Bank for International Settlements.</w:t>
      </w:r>
      <w:r>
        <w:t xml:space="preserve"> </w:t>
      </w:r>
      <w:r>
        <w:rPr>
          <w:i/>
          <w:iCs/>
        </w:rPr>
        <w:t xml:space="preserve">Quarterly Review</w:t>
      </w:r>
      <w:r>
        <w:t xml:space="preserve">. Basel: BIS, December 2019.</w:t>
      </w:r>
    </w:p>
    <w:p>
      <w:pPr>
        <w:pStyle w:val="BodyText"/>
        <w:ind w:hanging="720" w:left="720"/>
      </w:pPr>
      <w:r>
        <w:t xml:space="preserve">Bedorf, Thomas.</w:t>
      </w:r>
      <w:r>
        <w:t xml:space="preserve"> </w:t>
      </w:r>
      <w:r>
        <w:t xml:space="preserve">“Stabilisierung und/oder Irritation: Voraussetzungen und Konsequenzen einer triadischen Sozialphilosophie.”</w:t>
      </w:r>
      <w:r>
        <w:t xml:space="preserve"> </w:t>
      </w:r>
      <w:r>
        <w:t xml:space="preserve">In</w:t>
      </w:r>
      <w:r>
        <w:t xml:space="preserve"> </w:t>
      </w:r>
      <w:r>
        <w:rPr>
          <w:i/>
          <w:iCs/>
        </w:rPr>
        <w:t xml:space="preserve">Theorien des Dritten: Innovationen in Soziologie und Sozialphilosophie</w:t>
      </w:r>
      <w:r>
        <w:t xml:space="preserve">, edited by Thomas Bedorf, Joachim Fischer, and Gesa Lindemann, 13–32. Munich: Fink, 2010.</w:t>
      </w:r>
    </w:p>
    <w:p>
      <w:pPr>
        <w:pStyle w:val="BodyText"/>
        <w:ind w:hanging="720" w:left="720"/>
      </w:pPr>
      <w:r>
        <w:t xml:space="preserve">Bellah, Robert N.</w:t>
      </w:r>
      <w:r>
        <w:t xml:space="preserve"> </w:t>
      </w:r>
      <w:r>
        <w:t xml:space="preserve">“Tradition and Community in the Humanities.”</w:t>
      </w:r>
      <w:r>
        <w:t xml:space="preserve"> </w:t>
      </w:r>
      <w:r>
        <w:rPr>
          <w:i/>
          <w:iCs/>
        </w:rPr>
        <w:t xml:space="preserve">Community Colleges Humanities Review</w:t>
      </w:r>
      <w:r>
        <w:t xml:space="preserve"> </w:t>
      </w:r>
      <w:r>
        <w:t xml:space="preserve">8 (1987): 5–6.</w:t>
      </w:r>
    </w:p>
    <w:p>
      <w:pPr>
        <w:pStyle w:val="BodyText"/>
        <w:ind w:hanging="720" w:left="720"/>
      </w:pPr>
      <w:r>
        <w:t xml:space="preserve">Burt, Ronald S.</w:t>
      </w:r>
      <w:r>
        <w:t xml:space="preserve"> </w:t>
      </w:r>
      <w:r>
        <w:rPr>
          <w:i/>
          <w:iCs/>
        </w:rPr>
        <w:t xml:space="preserve">Structural Holes: The Social Structure of Competition</w:t>
      </w:r>
      <w:r>
        <w:t xml:space="preserve">. Cambridge, MA: Harvard University Press, 1992.</w:t>
      </w:r>
    </w:p>
    <w:p>
      <w:pPr>
        <w:pStyle w:val="BodyText"/>
        <w:ind w:hanging="720" w:left="720"/>
      </w:pPr>
      <w:r>
        <w:t xml:space="preserve">Busch, Andrew M.</w:t>
      </w:r>
      <w:r>
        <w:t xml:space="preserve"> </w:t>
      </w:r>
      <w:r>
        <w:t xml:space="preserve">“Whose</w:t>
      </w:r>
      <w:r>
        <w:t xml:space="preserve"> </w:t>
      </w:r>
      <w:r>
        <w:t xml:space="preserve">‘Sense of Place’</w:t>
      </w:r>
      <w:r>
        <w:t xml:space="preserve">? Topophilia, the Grassroots, and Urbanization in Austin, Texas.”</w:t>
      </w:r>
      <w:r>
        <w:t xml:space="preserve"> </w:t>
      </w:r>
      <w:r>
        <w:rPr>
          <w:i/>
          <w:iCs/>
        </w:rPr>
        <w:t xml:space="preserve">American Quarterly</w:t>
      </w:r>
      <w:r>
        <w:t xml:space="preserve"> </w:t>
      </w:r>
      <w:r>
        <w:t xml:space="preserve">63, no. 2 (2011): 399–408.</w:t>
      </w:r>
    </w:p>
    <w:p>
      <w:pPr>
        <w:pStyle w:val="BodyText"/>
        <w:ind w:hanging="720" w:left="720"/>
      </w:pPr>
      <w:r>
        <w:t xml:space="preserve">Cohen, Julie E.</w:t>
      </w:r>
      <w:r>
        <w:t xml:space="preserve"> </w:t>
      </w:r>
      <w:r>
        <w:t xml:space="preserve">“Law for the Platform Economy.”</w:t>
      </w:r>
      <w:r>
        <w:t xml:space="preserve"> </w:t>
      </w:r>
      <w:r>
        <w:rPr>
          <w:i/>
          <w:iCs/>
        </w:rPr>
        <w:t xml:space="preserve">UC Davis Law Review</w:t>
      </w:r>
      <w:r>
        <w:t xml:space="preserve"> </w:t>
      </w:r>
      <w:r>
        <w:t xml:space="preserve">51 (2017): 133–204.</w:t>
      </w:r>
    </w:p>
    <w:p>
      <w:pPr>
        <w:pStyle w:val="BodyText"/>
        <w:ind w:hanging="720" w:left="720"/>
      </w:pPr>
      <w:r>
        <w:t xml:space="preserve">Coser, Lewis A.</w:t>
      </w:r>
      <w:r>
        <w:t xml:space="preserve"> </w:t>
      </w:r>
      <w:r>
        <w:rPr>
          <w:i/>
          <w:iCs/>
        </w:rPr>
        <w:t xml:space="preserve">The Functions of Social Conflict</w:t>
      </w:r>
      <w:r>
        <w:t xml:space="preserve">. New York: Free Press, 1956.</w:t>
      </w:r>
    </w:p>
    <w:p>
      <w:pPr>
        <w:pStyle w:val="BodyText"/>
        <w:ind w:hanging="720" w:left="720"/>
      </w:pPr>
      <w:r>
        <w:t xml:space="preserve">Erickson, Mary P.</w:t>
      </w:r>
      <w:r>
        <w:t xml:space="preserve"> </w:t>
      </w:r>
      <w:r>
        <w:t xml:space="preserve">“</w:t>
      </w:r>
      <w:r>
        <w:t xml:space="preserve">‘I Think I Still Qualify as a Slacker … Just One That’s Currently Lucky’</w:t>
      </w:r>
      <w:r>
        <w:t xml:space="preserve">: The Myths of</w:t>
      </w:r>
      <w:r>
        <w:t xml:space="preserve"> </w:t>
      </w:r>
      <w:r>
        <w:rPr>
          <w:i/>
          <w:iCs/>
        </w:rPr>
        <w:t xml:space="preserve">Slacker</w:t>
      </w:r>
      <w:r>
        <w:t xml:space="preserve">, Austin, and Richard Linklater.”</w:t>
      </w:r>
      <w:r>
        <w:t xml:space="preserve"> </w:t>
      </w:r>
      <w:r>
        <w:t xml:space="preserve">In</w:t>
      </w:r>
      <w:r>
        <w:t xml:space="preserve"> </w:t>
      </w:r>
      <w:r>
        <w:rPr>
          <w:i/>
          <w:iCs/>
        </w:rPr>
        <w:t xml:space="preserve">ReFocus: The Films of Richard Linklater</w:t>
      </w:r>
      <w:r>
        <w:t xml:space="preserve">, edited by Kim Wilkins and Timotheus Vermeulen, 15–33. Edinburgh: Edinburgh University Press, 2022.</w:t>
      </w:r>
    </w:p>
    <w:p>
      <w:pPr>
        <w:pStyle w:val="BodyText"/>
        <w:ind w:hanging="720" w:left="720"/>
      </w:pPr>
      <w:r>
        <w:t xml:space="preserve">Foreign Exchange Committee, Federal Reserve Bank of New York.</w:t>
      </w:r>
      <w:r>
        <w:t xml:space="preserve"> </w:t>
      </w:r>
      <w:r>
        <w:rPr>
          <w:i/>
          <w:iCs/>
        </w:rPr>
        <w:t xml:space="preserve">Annual Report 1991</w:t>
      </w:r>
      <w:r>
        <w:t xml:space="preserve">. New York: Federal Reserve Bank of New York, 1992.</w:t>
      </w:r>
    </w:p>
    <w:p>
      <w:pPr>
        <w:pStyle w:val="BodyText"/>
        <w:ind w:hanging="720" w:left="720"/>
      </w:pPr>
      <w:r>
        <w:t xml:space="preserve">Fuhse, Jan. </w:t>
      </w:r>
      <w:r>
        <w:t xml:space="preserve">“Dyaden und Dritte in Netzwerken.”</w:t>
      </w:r>
      <w:r>
        <w:t xml:space="preserve"> </w:t>
      </w:r>
      <w:r>
        <w:t xml:space="preserve">Discussion paper, University of Oldenburg, June 2013.</w:t>
      </w:r>
    </w:p>
    <w:p>
      <w:pPr>
        <w:pStyle w:val="BodyText"/>
        <w:ind w:hanging="720" w:left="720"/>
      </w:pPr>
      <w:r>
        <w:t xml:space="preserve">Global Foreign Exchange Committee.</w:t>
      </w:r>
      <w:r>
        <w:t xml:space="preserve"> </w:t>
      </w:r>
      <w:r>
        <w:rPr>
          <w:i/>
          <w:iCs/>
        </w:rPr>
        <w:t xml:space="preserve">FX Global Code</w:t>
      </w:r>
      <w:r>
        <w:t xml:space="preserve">. Updated December 2024.</w:t>
      </w:r>
    </w:p>
    <w:p>
      <w:pPr>
        <w:pStyle w:val="BodyText"/>
        <w:ind w:hanging="720" w:left="720"/>
      </w:pPr>
      <w:r>
        <w:t xml:space="preserve">Kostrova, Elizaveta.</w:t>
      </w:r>
      <w:r>
        <w:t xml:space="preserve"> </w:t>
      </w:r>
      <w:r>
        <w:t xml:space="preserve">“The Dyad and the Third Party: The Traces of Simmel’s Distinction in Phenomenology and Family Studies.”</w:t>
      </w:r>
      <w:r>
        <w:t xml:space="preserve"> </w:t>
      </w:r>
      <w:r>
        <w:rPr>
          <w:i/>
          <w:iCs/>
        </w:rPr>
        <w:t xml:space="preserve">Avant</w:t>
      </w:r>
      <w:r>
        <w:t xml:space="preserve"> </w:t>
      </w:r>
      <w:r>
        <w:t xml:space="preserve">9, no. 2 (2018): 187–202.</w:t>
      </w:r>
    </w:p>
    <w:p>
      <w:pPr>
        <w:pStyle w:val="BodyText"/>
        <w:ind w:hanging="720" w:left="720"/>
      </w:pPr>
      <w:r>
        <w:t xml:space="preserve">Kuhn, Annette, Daniel Biltereyst, and Philippe Meers.</w:t>
      </w:r>
      <w:r>
        <w:t xml:space="preserve"> </w:t>
      </w:r>
      <w:r>
        <w:t xml:space="preserve">“Memories of Cinemagoing and Film Experience: An Introduction.”</w:t>
      </w:r>
      <w:r>
        <w:t xml:space="preserve"> </w:t>
      </w:r>
      <w:r>
        <w:rPr>
          <w:i/>
          <w:iCs/>
        </w:rPr>
        <w:t xml:space="preserve">Memory Studies</w:t>
      </w:r>
      <w:r>
        <w:t xml:space="preserve"> </w:t>
      </w:r>
      <w:r>
        <w:t xml:space="preserve">10, no. 1 (2017): 3–16.</w:t>
      </w:r>
    </w:p>
    <w:p>
      <w:pPr>
        <w:pStyle w:val="BodyText"/>
        <w:ind w:hanging="720" w:left="720"/>
      </w:pPr>
      <w:r>
        <w:t xml:space="preserve">Kegley, Jacquelyn Ann K.</w:t>
      </w:r>
      <w:r>
        <w:t xml:space="preserve"> </w:t>
      </w:r>
      <w:r>
        <w:rPr>
          <w:i/>
          <w:iCs/>
        </w:rPr>
        <w:t xml:space="preserve">Josiah Royce in Focus</w:t>
      </w:r>
      <w:r>
        <w:t xml:space="preserve">. Bloomington: Indiana University Press, 2008.</w:t>
      </w:r>
    </w:p>
    <w:p>
      <w:pPr>
        <w:pStyle w:val="BodyText"/>
        <w:ind w:hanging="720" w:left="720"/>
      </w:pPr>
      <w:r>
        <w:t xml:space="preserve">Kwon, Seok-Woo, Emanuela Rondi, Daniel Z. Levin, Alfredo De Massis, and Daniel J. Brass.</w:t>
      </w:r>
      <w:r>
        <w:t xml:space="preserve"> </w:t>
      </w:r>
      <w:r>
        <w:t xml:space="preserve">“Network Brokerage: An Integrative Review and Future Research Agenda.”</w:t>
      </w:r>
      <w:r>
        <w:t xml:space="preserve"> </w:t>
      </w:r>
      <w:r>
        <w:rPr>
          <w:i/>
          <w:iCs/>
        </w:rPr>
        <w:t xml:space="preserve">Journal of Management</w:t>
      </w:r>
      <w:r>
        <w:t xml:space="preserve"> </w:t>
      </w:r>
      <w:r>
        <w:t xml:space="preserve">46, no. 6 (2020): 1092–1120.</w:t>
      </w:r>
    </w:p>
    <w:p>
      <w:pPr>
        <w:pStyle w:val="BodyText"/>
        <w:ind w:hanging="720" w:left="720"/>
      </w:pPr>
      <w:r>
        <w:t xml:space="preserve">Lindemann, Gesa.</w:t>
      </w:r>
      <w:r>
        <w:t xml:space="preserve"> </w:t>
      </w:r>
      <w:r>
        <w:t xml:space="preserve">“Die Emergenzfunktion des Dritten – ihre Bedeutung für die Analyse der Ordnung einer funktional differenzierten Gesellschaft.”</w:t>
      </w:r>
      <w:r>
        <w:t xml:space="preserve"> </w:t>
      </w:r>
      <w:r>
        <w:rPr>
          <w:i/>
          <w:iCs/>
        </w:rPr>
        <w:t xml:space="preserve">Zeitschrift für Soziologie</w:t>
      </w:r>
      <w:r>
        <w:t xml:space="preserve"> </w:t>
      </w:r>
      <w:r>
        <w:t xml:space="preserve">39, no. 6 (2010): 493–511.</w:t>
      </w:r>
    </w:p>
    <w:p>
      <w:pPr>
        <w:pStyle w:val="BodyText"/>
        <w:ind w:hanging="720" w:left="720"/>
      </w:pPr>
      <w:r>
        <w:t xml:space="preserve">Long, Joshua.</w:t>
      </w:r>
      <w:r>
        <w:t xml:space="preserve"> </w:t>
      </w:r>
      <w:r>
        <w:rPr>
          <w:i/>
          <w:iCs/>
        </w:rPr>
        <w:t xml:space="preserve">Weird City: Sense of Place and Creative Resistance in Austin, Texas</w:t>
      </w:r>
      <w:r>
        <w:t xml:space="preserve">. Austin: University of Texas Press, 2010.</w:t>
      </w:r>
    </w:p>
    <w:p>
      <w:pPr>
        <w:pStyle w:val="BodyText"/>
        <w:ind w:hanging="720" w:left="720"/>
      </w:pPr>
      <w:r>
        <w:t xml:space="preserve">LSEG.</w:t>
      </w:r>
      <w:r>
        <w:t xml:space="preserve"> </w:t>
      </w:r>
      <w:r>
        <w:rPr>
          <w:i/>
          <w:iCs/>
        </w:rPr>
        <w:t xml:space="preserve">LSEG FX SEF Rulebook</w:t>
      </w:r>
      <w:r>
        <w:t xml:space="preserve">. Version 4.1, effective August 11, 2026.</w:t>
      </w:r>
    </w:p>
    <w:p>
      <w:pPr>
        <w:pStyle w:val="BodyText"/>
        <w:ind w:hanging="720" w:left="720"/>
      </w:pPr>
      <w:r>
        <w:t xml:space="preserve">———.</w:t>
      </w:r>
      <w:r>
        <w:t xml:space="preserve"> </w:t>
      </w:r>
      <w:r>
        <w:rPr>
          <w:i/>
          <w:iCs/>
        </w:rPr>
        <w:t xml:space="preserve">LSEG FX UK MTF Rule Book</w:t>
      </w:r>
      <w:r>
        <w:t xml:space="preserve">. Version 1.2, effective December 1, 2025.</w:t>
      </w:r>
    </w:p>
    <w:p>
      <w:pPr>
        <w:pStyle w:val="BodyText"/>
        <w:ind w:hanging="720" w:left="720"/>
      </w:pPr>
      <w:r>
        <w:t xml:space="preserve">Murray, Kali.</w:t>
      </w:r>
      <w:r>
        <w:t xml:space="preserve"> </w:t>
      </w:r>
      <w:r>
        <w:t xml:space="preserve">“Charles Reich’s Unruly Administrative State.”</w:t>
      </w:r>
      <w:r>
        <w:t xml:space="preserve"> </w:t>
      </w:r>
      <w:r>
        <w:rPr>
          <w:i/>
          <w:iCs/>
        </w:rPr>
        <w:t xml:space="preserve">Yale Law Journal Forum</w:t>
      </w:r>
      <w:r>
        <w:t xml:space="preserve"> </w:t>
      </w:r>
      <w:r>
        <w:t xml:space="preserve">129 (2020): 714–722.</w:t>
      </w:r>
    </w:p>
    <w:p>
      <w:pPr>
        <w:pStyle w:val="BodyText"/>
        <w:ind w:hanging="720" w:left="720"/>
      </w:pPr>
      <w:r>
        <w:t xml:space="preserve">Neuberger, Christoph.</w:t>
      </w:r>
      <w:r>
        <w:t xml:space="preserve"> </w:t>
      </w:r>
      <w:r>
        <w:t xml:space="preserve">“Journalismus und Plattformen als vermittelnde Dritte in der digitalen Öffentlichkeit.”</w:t>
      </w:r>
      <w:r>
        <w:t xml:space="preserve"> </w:t>
      </w:r>
      <w:r>
        <w:rPr>
          <w:i/>
          <w:iCs/>
        </w:rPr>
        <w:t xml:space="preserve">Kölner Zeitschrift für Soziologie und Sozialpsychologie</w:t>
      </w:r>
      <w:r>
        <w:t xml:space="preserve"> </w:t>
      </w:r>
      <w:r>
        <w:t xml:space="preserve">74, suppl. 1 (2022): 159–181.</w:t>
      </w:r>
    </w:p>
    <w:p>
      <w:pPr>
        <w:pStyle w:val="BodyText"/>
        <w:ind w:hanging="720" w:left="720"/>
      </w:pPr>
      <w:r>
        <w:t xml:space="preserve">Parker, Kelly A., and Shawn E. Klein.</w:t>
      </w:r>
      <w:r>
        <w:t xml:space="preserve"> </w:t>
      </w:r>
      <w:r>
        <w:t xml:space="preserve">“Josiah Royce.”</w:t>
      </w:r>
      <w:r>
        <w:t xml:space="preserve"> </w:t>
      </w:r>
      <w:r>
        <w:rPr>
          <w:i/>
          <w:iCs/>
        </w:rPr>
        <w:t xml:space="preserve">Stanford Encyclopedia of Philosophy</w:t>
      </w:r>
      <w:r>
        <w:t xml:space="preserve">. First published August 3, 2004; substantively revised January 15, 2026.</w:t>
      </w:r>
    </w:p>
    <w:p>
      <w:pPr>
        <w:pStyle w:val="BodyText"/>
        <w:ind w:hanging="720" w:left="720"/>
      </w:pPr>
      <w:r>
        <w:t xml:space="preserve">Obstfeld, David.</w:t>
      </w:r>
      <w:r>
        <w:t xml:space="preserve"> </w:t>
      </w:r>
      <w:r>
        <w:t xml:space="preserve">“Social Networks, the</w:t>
      </w:r>
      <w:r>
        <w:t xml:space="preserve"> </w:t>
      </w:r>
      <w:r>
        <w:rPr>
          <w:i/>
          <w:iCs/>
        </w:rPr>
        <w:t xml:space="preserve">Tertius Iungens</w:t>
      </w:r>
      <w:r>
        <w:t xml:space="preserve"> </w:t>
      </w:r>
      <w:r>
        <w:t xml:space="preserve">Orientation, and Involvement in Innovation.”</w:t>
      </w:r>
      <w:r>
        <w:t xml:space="preserve"> </w:t>
      </w:r>
      <w:r>
        <w:rPr>
          <w:i/>
          <w:iCs/>
        </w:rPr>
        <w:t xml:space="preserve">Administrative Science Quarterly</w:t>
      </w:r>
      <w:r>
        <w:t xml:space="preserve"> </w:t>
      </w:r>
      <w:r>
        <w:t xml:space="preserve">50, no. 1 (2005): 100–130.</w:t>
      </w:r>
    </w:p>
    <w:p>
      <w:pPr>
        <w:pStyle w:val="BodyText"/>
        <w:ind w:hanging="720" w:left="720"/>
      </w:pPr>
      <w:r>
        <w:t xml:space="preserve">Reich, Charles A.</w:t>
      </w:r>
      <w:r>
        <w:t xml:space="preserve"> </w:t>
      </w:r>
      <w:r>
        <w:t xml:space="preserve">“The Liberty Impact of the New Property.”</w:t>
      </w:r>
      <w:r>
        <w:t xml:space="preserve"> </w:t>
      </w:r>
      <w:r>
        <w:rPr>
          <w:i/>
          <w:iCs/>
        </w:rPr>
        <w:t xml:space="preserve">William &amp; Mary Law Review</w:t>
      </w:r>
      <w:r>
        <w:t xml:space="preserve"> </w:t>
      </w:r>
      <w:r>
        <w:t xml:space="preserve">31 (1990): 295–306.</w:t>
      </w:r>
    </w:p>
    <w:p>
      <w:pPr>
        <w:pStyle w:val="BodyText"/>
        <w:ind w:hanging="720" w:left="720"/>
      </w:pPr>
      <w:r>
        <w:t xml:space="preserve">Reich, Charles A.</w:t>
      </w:r>
      <w:r>
        <w:t xml:space="preserve"> </w:t>
      </w:r>
      <w:r>
        <w:t xml:space="preserve">“The New Property.”</w:t>
      </w:r>
      <w:r>
        <w:t xml:space="preserve"> </w:t>
      </w:r>
      <w:r>
        <w:rPr>
          <w:i/>
          <w:iCs/>
        </w:rPr>
        <w:t xml:space="preserve">The Yale Law Journal</w:t>
      </w:r>
      <w:r>
        <w:t xml:space="preserve"> </w:t>
      </w:r>
      <w:r>
        <w:t xml:space="preserve">73, no. 5 (1964): 733–787.</w:t>
      </w:r>
    </w:p>
    <w:p>
      <w:pPr>
        <w:pStyle w:val="BodyText"/>
        <w:ind w:hanging="720" w:left="720"/>
      </w:pPr>
      <w:r>
        <w:t xml:space="preserve">Rideshare Drivers United and Asian Law Caucus.</w:t>
      </w:r>
      <w:r>
        <w:t xml:space="preserve"> </w:t>
      </w:r>
      <w:r>
        <w:rPr>
          <w:i/>
          <w:iCs/>
        </w:rPr>
        <w:t xml:space="preserve">Fired by an App: The Toll of Secret Algorithms and Unchecked Discrimination on California Rideshare Drivers</w:t>
      </w:r>
      <w:r>
        <w:t xml:space="preserve">. February 2023.</w:t>
      </w:r>
    </w:p>
    <w:p>
      <w:pPr>
        <w:pStyle w:val="BodyText"/>
        <w:ind w:hanging="720" w:left="720"/>
      </w:pPr>
      <w:r>
        <w:t xml:space="preserve">Royce, Josiah.</w:t>
      </w:r>
      <w:r>
        <w:t xml:space="preserve"> </w:t>
      </w:r>
      <w:r>
        <w:rPr>
          <w:i/>
          <w:iCs/>
        </w:rPr>
        <w:t xml:space="preserve">The Problem of Christianity</w:t>
      </w:r>
      <w:r>
        <w:t xml:space="preserve">. 2 vols. New York: Macmillan, 1913. Reprinted in one volume, Chicago: University of Chicago Press, 1968.</w:t>
      </w:r>
    </w:p>
    <w:p>
      <w:pPr>
        <w:pStyle w:val="BodyText"/>
        <w:ind w:hanging="720" w:left="720"/>
      </w:pPr>
      <w:r>
        <w:t xml:space="preserve">Simmel, Georg.</w:t>
      </w:r>
      <w:r>
        <w:t xml:space="preserve"> </w:t>
      </w:r>
      <w:r>
        <w:rPr>
          <w:i/>
          <w:iCs/>
        </w:rPr>
        <w:t xml:space="preserve">Philosophie des Geldes</w:t>
      </w:r>
      <w:r>
        <w:t xml:space="preserve">. Leipzig: Duncker &amp; Humblot, 1900. Translated as</w:t>
      </w:r>
      <w:r>
        <w:t xml:space="preserve"> </w:t>
      </w:r>
      <w:r>
        <w:rPr>
          <w:i/>
          <w:iCs/>
        </w:rPr>
        <w:t xml:space="preserve">The Philosophy of Money</w:t>
      </w:r>
      <w:r>
        <w:t xml:space="preserve">, edited by David Frisby, translated by Tom Bottomore and David Frisby, 3rd ed. London: Routledge, 2004.</w:t>
      </w:r>
    </w:p>
    <w:p>
      <w:pPr>
        <w:pStyle w:val="BodyText"/>
        <w:ind w:hanging="720" w:left="720"/>
      </w:pPr>
      <w:r>
        <w:t xml:space="preserve">———.</w:t>
      </w:r>
      <w:r>
        <w:t xml:space="preserve"> </w:t>
      </w:r>
      <w:r>
        <w:rPr>
          <w:i/>
          <w:iCs/>
        </w:rPr>
        <w:t xml:space="preserve">The Sociology of Georg Simmel</w:t>
      </w:r>
      <w:r>
        <w:t xml:space="preserve">. Translated and edited by Kurt H. Wolff. Glencoe, IL: The Free Press, 1950. Originally published as</w:t>
      </w:r>
      <w:r>
        <w:t xml:space="preserve"> </w:t>
      </w:r>
      <w:r>
        <w:rPr>
          <w:i/>
          <w:iCs/>
        </w:rPr>
        <w:t xml:space="preserve">Soziologie</w:t>
      </w:r>
      <w:r>
        <w:t xml:space="preserve"> </w:t>
      </w:r>
      <w:r>
        <w:t xml:space="preserve">(Leipzig: Duncker &amp; Humblot, 1908).</w:t>
      </w:r>
    </w:p>
    <w:p>
      <w:pPr>
        <w:pStyle w:val="BodyText"/>
        <w:ind w:hanging="720" w:left="720"/>
      </w:pPr>
      <w:r>
        <w:t xml:space="preserve">Stark, David, and Ivana Pais.</w:t>
      </w:r>
      <w:r>
        <w:t xml:space="preserve"> </w:t>
      </w:r>
      <w:r>
        <w:t xml:space="preserve">“Algorithmic Management in the Platform Economy.”</w:t>
      </w:r>
      <w:r>
        <w:t xml:space="preserve"> </w:t>
      </w:r>
      <w:r>
        <w:rPr>
          <w:i/>
          <w:iCs/>
        </w:rPr>
        <w:t xml:space="preserve">Sociologica</w:t>
      </w:r>
      <w:r>
        <w:t xml:space="preserve"> </w:t>
      </w:r>
      <w:r>
        <w:t xml:space="preserve">14, no. 3 (2020): 47–72.</w:t>
      </w:r>
    </w:p>
    <w:bookmarkEnd w:id="51"/>
    <w:bookmarkEnd w:id="52"/>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David Stark and Ivana Pais,</w:t>
      </w:r>
      <w:r>
        <w:t xml:space="preserve"> </w:t>
      </w:r>
      <w:r>
        <w:t xml:space="preserve">“Algorithmic Management in the Platform Economy,”</w:t>
      </w:r>
      <w:r>
        <w:t xml:space="preserve"> </w:t>
      </w:r>
      <w:r>
        <w:rPr>
          <w:i/>
          <w:iCs/>
        </w:rPr>
        <w:t xml:space="preserve">Sociologica</w:t>
      </w:r>
      <w:r>
        <w:t xml:space="preserve"> </w:t>
      </w:r>
      <w:r>
        <w:t xml:space="preserve">14, no. 3 (2020): 47–72, at 48 and 49:</w:t>
      </w:r>
      <w:r>
        <w:t xml:space="preserve"> </w:t>
      </w:r>
      <w:r>
        <w:t xml:space="preserve">“whereas for markets the verb is contract, the verb for hierarchy is command, and for networks it is collaborate. By contrast, platforms co-opt,”</w:t>
      </w:r>
      <w:r>
        <w:t xml:space="preserve"> </w:t>
      </w:r>
      <w:r>
        <w:t xml:space="preserve">and</w:t>
      </w:r>
      <w:r>
        <w:t xml:space="preserve"> </w:t>
      </w:r>
      <w:r>
        <w:t xml:space="preserve">“platform owners co-opt the behavior of providers and users, enrolling them in the practices of algorithmic management without managerial authority having been delegated to them.”</w:t>
      </w:r>
    </w:p>
  </w:footnote>
  <w:footnote w:id="12">
    <w:p>
      <w:pPr>
        <w:pStyle w:val="FootnoteText"/>
      </w:pPr>
      <w:r>
        <w:rPr>
          <w:rStyle w:val="FootnoteReference"/>
        </w:rPr>
        <w:footnoteRef/>
      </w:r>
      <w:r>
        <w:t xml:space="preserve"> </w:t>
      </w:r>
      <w:r>
        <w:t xml:space="preserve">Georg Simmel,</w:t>
      </w:r>
      <w:r>
        <w:t xml:space="preserve"> </w:t>
      </w:r>
      <w:r>
        <w:rPr>
          <w:i/>
          <w:iCs/>
        </w:rPr>
        <w:t xml:space="preserve">The Sociology of Georg Simmel</w:t>
      </w:r>
      <w:r>
        <w:t xml:space="preserve">, trans. and ed. Kurt H. Wolff (Glencoe, IL: The Free Press, 1950).</w:t>
      </w:r>
      <w:r>
        <w:t xml:space="preserve"> </w:t>
      </w:r>
      <w:r>
        <w:t xml:space="preserve">“The Triad”</w:t>
      </w:r>
      <w:r>
        <w:t xml:space="preserve"> </w:t>
      </w:r>
      <w:r>
        <w:t xml:space="preserve">is chapter IV, 145–169: the non-partisan and the mediator at 145–47, the</w:t>
      </w:r>
      <w:r>
        <w:t xml:space="preserve"> </w:t>
      </w:r>
      <w:r>
        <w:rPr>
          <w:i/>
          <w:iCs/>
        </w:rPr>
        <w:t xml:space="preserve">tertius gaudens</w:t>
      </w:r>
      <w:r>
        <w:t xml:space="preserve"> </w:t>
      </w:r>
      <w:r>
        <w:t xml:space="preserve">at 154–62,</w:t>
      </w:r>
      <w:r>
        <w:t xml:space="preserve"> </w:t>
      </w:r>
      <w:r>
        <w:rPr>
          <w:i/>
          <w:iCs/>
        </w:rPr>
        <w:t xml:space="preserve">divide et impera</w:t>
      </w:r>
      <w:r>
        <w:t xml:space="preserve"> </w:t>
      </w:r>
      <w:r>
        <w:t xml:space="preserve">at 162, with the prohibition example at 163–64.</w:t>
      </w:r>
    </w:p>
  </w:footnote>
  <w:footnote w:id="13">
    <w:p>
      <w:pPr>
        <w:pStyle w:val="FootnoteText"/>
      </w:pPr>
      <w:r>
        <w:rPr>
          <w:rStyle w:val="FootnoteReference"/>
        </w:rPr>
        <w:footnoteRef/>
      </w:r>
      <w:r>
        <w:t xml:space="preserve"> </w:t>
      </w:r>
      <w:r>
        <w:t xml:space="preserve">Simmel,</w:t>
      </w:r>
      <w:r>
        <w:t xml:space="preserve"> </w:t>
      </w:r>
      <w:r>
        <w:rPr>
          <w:i/>
          <w:iCs/>
        </w:rPr>
        <w:t xml:space="preserve">Sociology</w:t>
      </w:r>
      <w:r>
        <w:t xml:space="preserve">, 145. Wolff’s wording quoted in the text; the German original is</w:t>
      </w:r>
      <w:r>
        <w:t xml:space="preserve"> </w:t>
      </w:r>
      <w:r>
        <w:rPr>
          <w:i/>
          <w:iCs/>
        </w:rPr>
        <w:t xml:space="preserve">Soziologie</w:t>
      </w:r>
      <w:r>
        <w:t xml:space="preserve"> </w:t>
      </w:r>
      <w:r>
        <w:t xml:space="preserve">(Leipzig: Duncker &amp; Humblot, 1908), chap. 2, p. 103.</w:t>
      </w:r>
      <w:r>
        <w:t xml:space="preserve"> </w:t>
      </w:r>
      <w:r>
        <w:rPr>
          <w:i/>
          <w:iCs/>
        </w:rPr>
        <w:t xml:space="preserve">Behandeln</w:t>
      </w:r>
      <w:r>
        <w:t xml:space="preserve"> </w:t>
      </w:r>
      <w:r>
        <w:t xml:space="preserve">is still-to-be-treated, not dismissed. The German makes the deferral’s ground explicit—</w:t>
      </w:r>
      <w:r>
        <w:rPr>
          <w:i/>
          <w:iCs/>
        </w:rPr>
        <w:t xml:space="preserve">Denn das dritte Element hat hier gegen die beiden andern eine derartige Distanz</w:t>
      </w:r>
      <w:r>
        <w:t xml:space="preserve">—and continues that properly sociological interactions encompassing all three alike do not obtain, but rather</w:t>
      </w:r>
      <w:r>
        <w:t xml:space="preserve"> </w:t>
      </w:r>
      <w:r>
        <w:rPr>
          <w:i/>
          <w:iCs/>
        </w:rPr>
        <w:t xml:space="preserve">Zweierkonfigurationen</w:t>
      </w:r>
      <w:r>
        <w:t xml:space="preserve">: either the relation among those who join, or the relation between them as a unit and the outside center of interest. Wolff renders the same consequence at 145–46. The related later material is</w:t>
      </w:r>
      <w:r>
        <w:t xml:space="preserve"> </w:t>
      </w:r>
      <w:r>
        <w:rPr>
          <w:i/>
          <w:iCs/>
        </w:rPr>
        <w:t xml:space="preserve">Soziologie</w:t>
      </w:r>
      <w:r>
        <w:t xml:space="preserve">, chap. IV (</w:t>
      </w:r>
      <w:r>
        <w:rPr>
          <w:i/>
          <w:iCs/>
        </w:rPr>
        <w:t xml:space="preserve">Der Streit</w:t>
      </w:r>
      <w:r>
        <w:t xml:space="preserve">): conflict as already a form of association (opening of the chapter);</w:t>
      </w:r>
      <w:r>
        <w:t xml:space="preserve"> </w:t>
      </w:r>
      <w:r>
        <w:rPr>
          <w:i/>
          <w:iCs/>
        </w:rPr>
        <w:t xml:space="preserve">man vereinigt sich, um zu kämpfen</w:t>
      </w:r>
      <w:r>
        <w:t xml:space="preserve"> </w:t>
      </w:r>
      <w:r>
        <w:t xml:space="preserve">and the combat-game under mutually recognized norms (1908 ed., p. 266); common opposition as cement and the political wisdom of providing for enemies (p. 316). Wolff’s 1950</w:t>
      </w:r>
      <w:r>
        <w:t xml:space="preserve"> </w:t>
      </w:r>
      <w:r>
        <w:rPr>
          <w:i/>
          <w:iCs/>
        </w:rPr>
        <w:t xml:space="preserve">Sociology</w:t>
      </w:r>
      <w:r>
        <w:t xml:space="preserve"> </w:t>
      </w:r>
      <w:r>
        <w:t xml:space="preserve">volume does not print</w:t>
      </w:r>
      <w:r>
        <w:t xml:space="preserve"> </w:t>
      </w:r>
      <w:r>
        <w:rPr>
          <w:i/>
          <w:iCs/>
        </w:rPr>
        <w:t xml:space="preserve">Streit</w:t>
      </w:r>
      <w:r>
        <w:t xml:space="preserve">; the English is Kurt H. Wolff, trans.,</w:t>
      </w:r>
      <w:r>
        <w:t xml:space="preserve"> </w:t>
      </w:r>
      <w:r>
        <w:rPr>
          <w:i/>
          <w:iCs/>
        </w:rPr>
        <w:t xml:space="preserve">Conflict</w:t>
      </w:r>
      <w:r>
        <w:t xml:space="preserve">, in Georg Simmel,</w:t>
      </w:r>
      <w:r>
        <w:t xml:space="preserve"> </w:t>
      </w:r>
      <w:r>
        <w:rPr>
          <w:i/>
          <w:iCs/>
        </w:rPr>
        <w:t xml:space="preserve">Conflict and The Web of Group-Affiliations</w:t>
      </w:r>
      <w:r>
        <w:t xml:space="preserve"> </w:t>
      </w:r>
      <w:r>
        <w:t xml:space="preserve">(Glencoe, IL: Free Press, 1955). A full-text search of the 1908</w:t>
      </w:r>
      <w:r>
        <w:t xml:space="preserve"> </w:t>
      </w:r>
      <w:r>
        <w:rPr>
          <w:i/>
          <w:iCs/>
        </w:rPr>
        <w:t xml:space="preserve">Soziologie</w:t>
      </w:r>
      <w:r>
        <w:t xml:space="preserve"> </w:t>
      </w:r>
      <w:r>
        <w:t xml:space="preserve">finds</w:t>
      </w:r>
      <w:r>
        <w:t xml:space="preserve"> </w:t>
      </w:r>
      <w:r>
        <w:rPr>
          <w:i/>
          <w:iCs/>
        </w:rPr>
        <w:t xml:space="preserve">gesellschaftsbildende Vermittlung eines dritten Elementes</w:t>
      </w:r>
      <w:r>
        <w:t xml:space="preserve"> </w:t>
      </w:r>
      <w:r>
        <w:t xml:space="preserve">only at the deferral on p. 103.</w:t>
      </w:r>
    </w:p>
  </w:footnote>
  <w:footnote w:id="14">
    <w:p>
      <w:pPr>
        <w:pStyle w:val="FootnoteText"/>
      </w:pPr>
      <w:r>
        <w:rPr>
          <w:rStyle w:val="FootnoteReference"/>
        </w:rPr>
        <w:footnoteRef/>
      </w:r>
      <w:r>
        <w:t xml:space="preserve"> </w:t>
      </w:r>
      <w:r>
        <w:t xml:space="preserve">Simmel,</w:t>
      </w:r>
      <w:r>
        <w:t xml:space="preserve"> </w:t>
      </w:r>
      <w:r>
        <w:rPr>
          <w:i/>
          <w:iCs/>
        </w:rPr>
        <w:t xml:space="preserve">Sociology</w:t>
      </w:r>
      <w:r>
        <w:t xml:space="preserve">, 145. Wolff’s wording quoted in the text; the German original is</w:t>
      </w:r>
      <w:r>
        <w:t xml:space="preserve"> </w:t>
      </w:r>
      <w:r>
        <w:rPr>
          <w:i/>
          <w:iCs/>
        </w:rPr>
        <w:t xml:space="preserve">Soziologie</w:t>
      </w:r>
      <w:r>
        <w:t xml:space="preserve"> </w:t>
      </w:r>
      <w:r>
        <w:t xml:space="preserve">(Leipzig: Duncker &amp; Humblot, 1908), chap. 2, p. 103.</w:t>
      </w:r>
      <w:r>
        <w:t xml:space="preserve"> </w:t>
      </w:r>
      <w:r>
        <w:rPr>
          <w:i/>
          <w:iCs/>
        </w:rPr>
        <w:t xml:space="preserve">Behandeln</w:t>
      </w:r>
      <w:r>
        <w:t xml:space="preserve"> </w:t>
      </w:r>
      <w:r>
        <w:t xml:space="preserve">is still-to-be-treated, not dismissed. The German makes the deferral’s ground explicit—</w:t>
      </w:r>
      <w:r>
        <w:rPr>
          <w:i/>
          <w:iCs/>
        </w:rPr>
        <w:t xml:space="preserve">Denn das dritte Element hat hier gegen die beiden andern eine derartige Distanz</w:t>
      </w:r>
      <w:r>
        <w:t xml:space="preserve">—and continues that properly sociological interactions encompassing all three alike do not obtain, but rather</w:t>
      </w:r>
      <w:r>
        <w:t xml:space="preserve"> </w:t>
      </w:r>
      <w:r>
        <w:rPr>
          <w:i/>
          <w:iCs/>
        </w:rPr>
        <w:t xml:space="preserve">Zweierkonfigurationen</w:t>
      </w:r>
      <w:r>
        <w:t xml:space="preserve">: either the relation among those who join, or the relation between them as a unit and the outside center of interest. Wolff renders the same consequence at 145–46. The related later material is</w:t>
      </w:r>
      <w:r>
        <w:t xml:space="preserve"> </w:t>
      </w:r>
      <w:r>
        <w:rPr>
          <w:i/>
          <w:iCs/>
        </w:rPr>
        <w:t xml:space="preserve">Soziologie</w:t>
      </w:r>
      <w:r>
        <w:t xml:space="preserve">, chap. IV (</w:t>
      </w:r>
      <w:r>
        <w:rPr>
          <w:i/>
          <w:iCs/>
        </w:rPr>
        <w:t xml:space="preserve">Der Streit</w:t>
      </w:r>
      <w:r>
        <w:t xml:space="preserve">): conflict as already a form of association (opening of the chapter);</w:t>
      </w:r>
      <w:r>
        <w:t xml:space="preserve"> </w:t>
      </w:r>
      <w:r>
        <w:rPr>
          <w:i/>
          <w:iCs/>
        </w:rPr>
        <w:t xml:space="preserve">man vereinigt sich, um zu kämpfen</w:t>
      </w:r>
      <w:r>
        <w:t xml:space="preserve"> </w:t>
      </w:r>
      <w:r>
        <w:t xml:space="preserve">and the combat-game under mutually recognized norms (1908 ed., p. 266); common opposition as cement and the political wisdom of providing for enemies (p. 316). Wolff’s 1950</w:t>
      </w:r>
      <w:r>
        <w:t xml:space="preserve"> </w:t>
      </w:r>
      <w:r>
        <w:rPr>
          <w:i/>
          <w:iCs/>
        </w:rPr>
        <w:t xml:space="preserve">Sociology</w:t>
      </w:r>
      <w:r>
        <w:t xml:space="preserve"> </w:t>
      </w:r>
      <w:r>
        <w:t xml:space="preserve">volume does not print</w:t>
      </w:r>
      <w:r>
        <w:t xml:space="preserve"> </w:t>
      </w:r>
      <w:r>
        <w:rPr>
          <w:i/>
          <w:iCs/>
        </w:rPr>
        <w:t xml:space="preserve">Streit</w:t>
      </w:r>
      <w:r>
        <w:t xml:space="preserve">; the English is Kurt H. Wolff, trans.,</w:t>
      </w:r>
      <w:r>
        <w:t xml:space="preserve"> </w:t>
      </w:r>
      <w:r>
        <w:rPr>
          <w:i/>
          <w:iCs/>
        </w:rPr>
        <w:t xml:space="preserve">Conflict</w:t>
      </w:r>
      <w:r>
        <w:t xml:space="preserve">, in Georg Simmel,</w:t>
      </w:r>
      <w:r>
        <w:t xml:space="preserve"> </w:t>
      </w:r>
      <w:r>
        <w:rPr>
          <w:i/>
          <w:iCs/>
        </w:rPr>
        <w:t xml:space="preserve">Conflict and The Web of Group-Affiliations</w:t>
      </w:r>
      <w:r>
        <w:t xml:space="preserve"> </w:t>
      </w:r>
      <w:r>
        <w:t xml:space="preserve">(Glencoe, IL: Free Press, 1955). A full-text search of the 1908</w:t>
      </w:r>
      <w:r>
        <w:t xml:space="preserve"> </w:t>
      </w:r>
      <w:r>
        <w:rPr>
          <w:i/>
          <w:iCs/>
        </w:rPr>
        <w:t xml:space="preserve">Soziologie</w:t>
      </w:r>
      <w:r>
        <w:t xml:space="preserve"> </w:t>
      </w:r>
      <w:r>
        <w:t xml:space="preserve">finds</w:t>
      </w:r>
      <w:r>
        <w:t xml:space="preserve"> </w:t>
      </w:r>
      <w:r>
        <w:rPr>
          <w:i/>
          <w:iCs/>
        </w:rPr>
        <w:t xml:space="preserve">gesellschaftsbildende Vermittlung eines dritten Elementes</w:t>
      </w:r>
      <w:r>
        <w:t xml:space="preserve"> </w:t>
      </w:r>
      <w:r>
        <w:t xml:space="preserve">only at the deferral on p. 103.</w:t>
      </w:r>
    </w:p>
  </w:footnote>
  <w:footnote w:id="15">
    <w:p>
      <w:pPr>
        <w:pStyle w:val="FootnoteText"/>
      </w:pPr>
      <w:r>
        <w:rPr>
          <w:rStyle w:val="FootnoteReference"/>
        </w:rPr>
        <w:footnoteRef/>
      </w:r>
      <w:r>
        <w:t xml:space="preserve"> </w:t>
      </w:r>
      <w:r>
        <w:t xml:space="preserve">Seok-Woo Kwon, Emanuela Rondi, Daniel Z. Levin, Alfredo De Massis, and Daniel J. Brass,</w:t>
      </w:r>
      <w:r>
        <w:t xml:space="preserve"> </w:t>
      </w:r>
      <w:r>
        <w:t xml:space="preserve">“Network Brokerage: An Integrative Review and Future Research Agenda,”</w:t>
      </w:r>
      <w:r>
        <w:t xml:space="preserve"> </w:t>
      </w:r>
      <w:r>
        <w:rPr>
          <w:i/>
          <w:iCs/>
        </w:rPr>
        <w:t xml:space="preserve">Journal of Management</w:t>
      </w:r>
      <w:r>
        <w:t xml:space="preserve"> </w:t>
      </w:r>
      <w:r>
        <w:t xml:space="preserve">46, no. 6 (2020): 1092–1120, for the definition (</w:t>
      </w:r>
      <w:r>
        <w:t xml:space="preserve">“Brokerage occurs when one actor (the broker) is connected to two other actors (alters) who are not themselves connected”</w:t>
      </w:r>
      <w:r>
        <w:t xml:space="preserve">) and for the exclusion criteria that drop non-human networks and networks outside a work or professional context. Ronald S. Burt,</w:t>
      </w:r>
      <w:r>
        <w:t xml:space="preserve"> </w:t>
      </w:r>
      <w:r>
        <w:rPr>
          <w:i/>
          <w:iCs/>
        </w:rPr>
        <w:t xml:space="preserve">Structural Holes: The Social Structure of Competition</w:t>
      </w:r>
      <w:r>
        <w:t xml:space="preserve"> </w:t>
      </w:r>
      <w:r>
        <w:t xml:space="preserve">(Cambridge, MA: Harvard University Press, 1992). David Obstfeld,</w:t>
      </w:r>
      <w:r>
        <w:t xml:space="preserve"> </w:t>
      </w:r>
      <w:r>
        <w:t xml:space="preserve">“Social Networks, the</w:t>
      </w:r>
      <w:r>
        <w:t xml:space="preserve"> </w:t>
      </w:r>
      <w:r>
        <w:rPr>
          <w:i/>
          <w:iCs/>
        </w:rPr>
        <w:t xml:space="preserve">Tertius Iungens</w:t>
      </w:r>
      <w:r>
        <w:t xml:space="preserve"> </w:t>
      </w:r>
      <w:r>
        <w:t xml:space="preserve">Orientation, and Involvement in Innovation,”</w:t>
      </w:r>
      <w:r>
        <w:t xml:space="preserve"> </w:t>
      </w:r>
      <w:r>
        <w:rPr>
          <w:i/>
          <w:iCs/>
        </w:rPr>
        <w:t xml:space="preserve">Administrative Science Quarterly</w:t>
      </w:r>
      <w:r>
        <w:t xml:space="preserve"> </w:t>
      </w:r>
      <w:r>
        <w:t xml:space="preserve">50, no. 1 (2005): 100–130;</w:t>
      </w:r>
      <w:r>
        <w:t xml:space="preserve"> </w:t>
      </w:r>
      <w:r>
        <w:rPr>
          <w:i/>
          <w:iCs/>
        </w:rPr>
        <w:t xml:space="preserve">tertius iungens</w:t>
      </w:r>
      <w:r>
        <w:t xml:space="preserve"> </w:t>
      </w:r>
      <w:r>
        <w:t xml:space="preserve">is Obstfeld’s coinage, not Simmel’s (the string does not appear in Wolff’s translation of the triad chapter). Money, the stranger, and spatial authority analyze objectivity and distance elsewhere in Simmel, but they are not the later treatment promised for</w:t>
      </w:r>
      <w:r>
        <w:t xml:space="preserve"> </w:t>
      </w:r>
      <w:r>
        <w:rPr>
          <w:i/>
          <w:iCs/>
        </w:rPr>
        <w:t xml:space="preserve">gesellschaftsbildende Vermittlung</w:t>
      </w:r>
      <w:r>
        <w:t xml:space="preserve">:</w:t>
      </w:r>
      <w:r>
        <w:t xml:space="preserve"> </w:t>
      </w:r>
      <w:r>
        <w:rPr>
          <w:i/>
          <w:iCs/>
        </w:rPr>
        <w:t xml:space="preserve">Philosophie des Geldes</w:t>
      </w:r>
      <w:r>
        <w:t xml:space="preserve"> </w:t>
      </w:r>
      <w:r>
        <w:t xml:space="preserve">(Leipzig: Duncker &amp; Humblot, 1900; English:</w:t>
      </w:r>
      <w:r>
        <w:t xml:space="preserve"> </w:t>
      </w:r>
      <w:r>
        <w:rPr>
          <w:i/>
          <w:iCs/>
        </w:rPr>
        <w:t xml:space="preserve">The Philosophy of Money</w:t>
      </w:r>
      <w:r>
        <w:t xml:space="preserve">, ed. David Frisby, trans. Tom Bottomore and David Frisby, 3rd ed., London: Routledge, 2004) precedes the triad deferral by eight years, and the stranger and spatial-order discussions sit elsewhere in the 1908</w:t>
      </w:r>
      <w:r>
        <w:t xml:space="preserve"> </w:t>
      </w:r>
      <w:r>
        <w:rPr>
          <w:i/>
          <w:iCs/>
        </w:rPr>
        <w:t xml:space="preserve">Soziologie</w:t>
      </w:r>
      <w:r>
        <w:t xml:space="preserve">, not as a fulfillment of the p. 103 deferral. On the same family as</w:t>
      </w:r>
      <w:r>
        <w:t xml:space="preserve"> </w:t>
      </w:r>
      <w:r>
        <w:rPr>
          <w:i/>
          <w:iCs/>
        </w:rPr>
        <w:t xml:space="preserve">Streit</w:t>
      </w:r>
      <w:r>
        <w:t xml:space="preserve">, see Lewis A. Coser,</w:t>
      </w:r>
      <w:r>
        <w:t xml:space="preserve"> </w:t>
      </w:r>
      <w:r>
        <w:rPr>
          <w:i/>
          <w:iCs/>
        </w:rPr>
        <w:t xml:space="preserve">The Functions of Social Conflict</w:t>
      </w:r>
      <w:r>
        <w:t xml:space="preserve"> </w:t>
      </w:r>
      <w:r>
        <w:t xml:space="preserve">(New York: Free Press, 1956).</w:t>
      </w:r>
    </w:p>
  </w:footnote>
  <w:footnote w:id="16">
    <w:p>
      <w:pPr>
        <w:pStyle w:val="FootnoteText"/>
      </w:pPr>
      <w:r>
        <w:rPr>
          <w:rStyle w:val="FootnoteReference"/>
        </w:rPr>
        <w:footnoteRef/>
      </w:r>
      <w:r>
        <w:t xml:space="preserve"> </w:t>
      </w:r>
      <w:r>
        <w:t xml:space="preserve">Gesa Lindemann,</w:t>
      </w:r>
      <w:r>
        <w:t xml:space="preserve"> </w:t>
      </w:r>
      <w:r>
        <w:t xml:space="preserve">“Die Emergenzfunktion des Dritten – ihre Bedeutung für die Analyse der Ordnung einer funktional differenzierten Gesellschaft,”</w:t>
      </w:r>
      <w:r>
        <w:t xml:space="preserve"> </w:t>
      </w:r>
      <w:r>
        <w:rPr>
          <w:i/>
          <w:iCs/>
        </w:rPr>
        <w:t xml:space="preserve">Zeitschrift für Soziologie</w:t>
      </w:r>
      <w:r>
        <w:t xml:space="preserve"> </w:t>
      </w:r>
      <w:r>
        <w:t xml:space="preserve">39, no. 6 (2010): 493–511, at 494–95, 501 (absent third; money and stranger as temporally absent thirds). Thomas Bedorf,</w:t>
      </w:r>
      <w:r>
        <w:t xml:space="preserve"> </w:t>
      </w:r>
      <w:r>
        <w:t xml:space="preserve">“Stabilisierung und/oder Irritation,”</w:t>
      </w:r>
      <w:r>
        <w:t xml:space="preserve"> </w:t>
      </w:r>
      <w:r>
        <w:t xml:space="preserve">in</w:t>
      </w:r>
      <w:r>
        <w:t xml:space="preserve"> </w:t>
      </w:r>
      <w:r>
        <w:rPr>
          <w:i/>
          <w:iCs/>
        </w:rPr>
        <w:t xml:space="preserve">Theorien des Dritten</w:t>
      </w:r>
      <w:r>
        <w:t xml:space="preserve">, ed. Thomas Bedorf, Joachim Fischer, and Gesa Lindemann (Munich: Fink, 2010), 13–32. Jan Fuhse,</w:t>
      </w:r>
      <w:r>
        <w:t xml:space="preserve"> </w:t>
      </w:r>
      <w:r>
        <w:t xml:space="preserve">“Dyaden und Dritte in Netzwerken”</w:t>
      </w:r>
      <w:r>
        <w:t xml:space="preserve"> </w:t>
      </w:r>
      <w:r>
        <w:t xml:space="preserve">(discussion paper, University of Oldenburg, 2013), on concrete versus abstract thirds. Christoph Neuberger,</w:t>
      </w:r>
      <w:r>
        <w:t xml:space="preserve"> </w:t>
      </w:r>
      <w:r>
        <w:t xml:space="preserve">“Journalismus und Plattformen als vermittelnde Dritte in der digitalen Öffentlichkeit,”</w:t>
      </w:r>
      <w:r>
        <w:t xml:space="preserve"> </w:t>
      </w:r>
      <w:r>
        <w:rPr>
          <w:i/>
          <w:iCs/>
        </w:rPr>
        <w:t xml:space="preserve">Kölner Zeitschrift für Soziologie und Sozialpsychologie</w:t>
      </w:r>
      <w:r>
        <w:t xml:space="preserve"> </w:t>
      </w:r>
      <w:r>
        <w:t xml:space="preserve">74, suppl. 1 (2022): 159–181, at 166, reusing</w:t>
      </w:r>
      <w:r>
        <w:t xml:space="preserve"> </w:t>
      </w:r>
      <w:r>
        <w:rPr>
          <w:i/>
          <w:iCs/>
        </w:rPr>
        <w:t xml:space="preserve">gesellschaftsbildende Vermittlung</w:t>
      </w:r>
      <w:r>
        <w:t xml:space="preserve">. Elizaveta Kostrova,</w:t>
      </w:r>
      <w:r>
        <w:t xml:space="preserve"> </w:t>
      </w:r>
      <w:r>
        <w:t xml:space="preserve">“The Dyad and the Third Party,”</w:t>
      </w:r>
      <w:r>
        <w:t xml:space="preserve"> </w:t>
      </w:r>
      <w:r>
        <w:rPr>
          <w:i/>
          <w:iCs/>
        </w:rPr>
        <w:t xml:space="preserve">Avant</w:t>
      </w:r>
      <w:r>
        <w:t xml:space="preserve"> </w:t>
      </w:r>
      <w:r>
        <w:t xml:space="preserve">9, no. 2 (2018): 187–202, for the structural dyad/triad reading of Simmel’s distance. No retrieved commentator reads the p. 103</w:t>
      </w:r>
      <w:r>
        <w:t xml:space="preserve"> </w:t>
      </w:r>
      <w:r>
        <w:rPr>
          <w:i/>
          <w:iCs/>
        </w:rPr>
        <w:t xml:space="preserve">Distanz</w:t>
      </w:r>
      <w:r>
        <w:t xml:space="preserve"> </w:t>
      </w:r>
      <w:r>
        <w:t xml:space="preserve">as ignorance of particulars or records that the promised later treatment never returns.</w:t>
      </w:r>
    </w:p>
  </w:footnote>
  <w:footnote w:id="17">
    <w:p>
      <w:pPr>
        <w:pStyle w:val="FootnoteText"/>
      </w:pPr>
      <w:r>
        <w:rPr>
          <w:rStyle w:val="FootnoteReference"/>
        </w:rPr>
        <w:footnoteRef/>
      </w:r>
      <w:r>
        <w:t xml:space="preserve"> </w:t>
      </w:r>
      <w:r>
        <w:t xml:space="preserve">Dialogue throughout this chapter is quoted from the film’s subtitle track. Subtitles compress and paraphrase, and no quotation here has yet been confirmed against the Criterion disc.</w:t>
      </w:r>
      <w:r>
        <w:t xml:space="preserve"> </w:t>
      </w:r>
      <w:r>
        <w:rPr>
          <w:i/>
          <w:iCs/>
        </w:rPr>
        <w:t xml:space="preserve">Slacker</w:t>
      </w:r>
      <w:r>
        <w:t xml:space="preserve">, directed by Richard Linklater (Austin, TX: Detour Filmproduction, 1990; distributed by Orion Classics, 1991).</w:t>
      </w:r>
    </w:p>
  </w:footnote>
  <w:footnote w:id="19">
    <w:p>
      <w:pPr>
        <w:pStyle w:val="FootnoteText"/>
      </w:pPr>
      <w:r>
        <w:rPr>
          <w:rStyle w:val="FootnoteReference"/>
        </w:rPr>
        <w:footnoteRef/>
      </w:r>
      <w:r>
        <w:t xml:space="preserve"> </w:t>
      </w:r>
      <w:r>
        <w:t xml:space="preserve">Josiah Royce,</w:t>
      </w:r>
      <w:r>
        <w:t xml:space="preserve"> </w:t>
      </w:r>
      <w:r>
        <w:rPr>
          <w:i/>
          <w:iCs/>
        </w:rPr>
        <w:t xml:space="preserve">The Problem of Christianity</w:t>
      </w:r>
      <w:r>
        <w:t xml:space="preserve"> </w:t>
      </w:r>
      <w:r>
        <w:t xml:space="preserve">(New York: Macmillan, 1913), 2:50 for the community of memory and 2:51 for the community of expectation; in the one-volume reset (Chicago: University of Chicago Press, 1968), 248 for both. Royce’s three constituting conditions are at 2:60–61, 2:67, and 2:68 (1968: 253, 255, 256). Contemporary summaries treat communication as necessary: Kelly A. Parker and Shawn E. Klein,</w:t>
      </w:r>
      <w:r>
        <w:t xml:space="preserve"> </w:t>
      </w:r>
      <w:r>
        <w:t xml:space="preserve">“Josiah Royce,”</w:t>
      </w:r>
      <w:r>
        <w:t xml:space="preserve"> </w:t>
      </w:r>
      <w:r>
        <w:rPr>
          <w:i/>
          <w:iCs/>
        </w:rPr>
        <w:t xml:space="preserve">Stanford Encyclopedia of Philosophy</w:t>
      </w:r>
      <w:r>
        <w:t xml:space="preserve">, substantively revised 15 January 2026, §2.2.2.</w:t>
      </w:r>
    </w:p>
  </w:footnote>
  <w:footnote w:id="20">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2:46 (1968: 247). Jacquelyn Ann K. Kegley,</w:t>
      </w:r>
      <w:r>
        <w:t xml:space="preserve"> </w:t>
      </w:r>
      <w:r>
        <w:rPr>
          <w:i/>
          <w:iCs/>
        </w:rPr>
        <w:t xml:space="preserve">Josiah Royce in Focus</w:t>
      </w:r>
      <w:r>
        <w:t xml:space="preserve"> </w:t>
      </w:r>
      <w:r>
        <w:t xml:space="preserve">(Bloomington: Indiana University Press, 2008), 102–103, retells the Tai-Nui canoe illustration as Royce’s concrete answer to how many selves can possess the same past as personally their own, glossing the tribal claim</w:t>
      </w:r>
      <w:r>
        <w:t xml:space="preserve"> </w:t>
      </w:r>
      <w:r>
        <w:t xml:space="preserve">“We are of the same canoe”</w:t>
      </w:r>
      <w:r>
        <w:t xml:space="preserve"> </w:t>
      </w:r>
      <w:r>
        <w:t xml:space="preserve">as</w:t>
      </w:r>
      <w:r>
        <w:t xml:space="preserve"> </w:t>
      </w:r>
      <w:r>
        <w:t xml:space="preserve">“We are of the same community.”</w:t>
      </w:r>
      <w:r>
        <w:t xml:space="preserve"> </w:t>
      </w:r>
      <w:r>
        <w:t xml:space="preserve">The aloofness and enmity lines at 2:46 are not quoted in that retelling; no retrieved secondary contradicts them.</w:t>
      </w:r>
    </w:p>
  </w:footnote>
  <w:footnote w:id="21">
    <w:p>
      <w:pPr>
        <w:pStyle w:val="FootnoteText"/>
      </w:pPr>
      <w:r>
        <w:rPr>
          <w:rStyle w:val="FootnoteReference"/>
        </w:rPr>
        <w:footnoteRef/>
      </w:r>
      <w:r>
        <w:t xml:space="preserve"> </w:t>
      </w:r>
      <w:r>
        <w:t xml:space="preserve">Josiah Royce,</w:t>
      </w:r>
      <w:r>
        <w:t xml:space="preserve"> </w:t>
      </w:r>
      <w:r>
        <w:rPr>
          <w:i/>
          <w:iCs/>
        </w:rPr>
        <w:t xml:space="preserve">The Problem of Christianity</w:t>
      </w:r>
      <w:r>
        <w:t xml:space="preserve"> </w:t>
      </w:r>
      <w:r>
        <w:t xml:space="preserve">(New York: Macmillan, 1913), 2:50 for the community of memory and 2:51 for the community of expectation; in the one-volume reset (Chicago: University of Chicago Press, 1968), 248 for both. Royce’s three constituting conditions are at 2:60–61, 2:67, and 2:68 (1968: 253, 255, 256). Contemporary summaries treat communication as necessary: Kelly A. Parker and Shawn E. Klein,</w:t>
      </w:r>
      <w:r>
        <w:t xml:space="preserve"> </w:t>
      </w:r>
      <w:r>
        <w:t xml:space="preserve">“Josiah Royce,”</w:t>
      </w:r>
      <w:r>
        <w:t xml:space="preserve"> </w:t>
      </w:r>
      <w:r>
        <w:rPr>
          <w:i/>
          <w:iCs/>
        </w:rPr>
        <w:t xml:space="preserve">Stanford Encyclopedia of Philosophy</w:t>
      </w:r>
      <w:r>
        <w:t xml:space="preserve">, substantively revised 15 January 2026, §2.2.2.</w:t>
      </w:r>
    </w:p>
  </w:footnote>
  <w:footnote w:id="22">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2:140 (1968: 286). The three terms are named at 2:142 (1968: 287): the interpreter, the object interpreted, and the person addressed. Royce credits the thesis to Peirce on the page.</w:t>
      </w:r>
    </w:p>
  </w:footnote>
  <w:footnote w:id="23">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2:124 (1968: 279); the flat statement of the same point is at 2:188 (1968: 306).</w:t>
      </w:r>
    </w:p>
  </w:footnote>
  <w:footnote w:id="24">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2:67 (1968: 255), which requires</w:t>
      </w:r>
      <w:r>
        <w:t xml:space="preserve"> </w:t>
      </w:r>
      <w:r>
        <w:t xml:space="preserve">“distinct selves capable of social communication, and, in general, engaged in communication.”</w:t>
      </w:r>
      <w:r>
        <w:t xml:space="preserve"> </w:t>
      </w:r>
      <w:r>
        <w:t xml:space="preserve">Royce also frames membership as holding among contemporaries (2:44, 2:49); the dead are commemorated and the commemorators are the members.</w:t>
      </w:r>
    </w:p>
  </w:footnote>
  <w:footnote w:id="25">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2:148–49 (1968: 289), and 2:211 (1968: 315), where all three terms of the Community of Interpretation are selves. Royce’s Colorado Canyon passage, which comes closest to an impersonal interpreter, is subjunctive throughout.</w:t>
      </w:r>
    </w:p>
  </w:footnote>
  <w:footnote w:id="26">
    <w:p>
      <w:pPr>
        <w:pStyle w:val="FootnoteText"/>
      </w:pPr>
      <w:r>
        <w:rPr>
          <w:rStyle w:val="FootnoteReference"/>
        </w:rPr>
        <w:footnoteRef/>
      </w:r>
      <w:r>
        <w:t xml:space="preserve"> </w:t>
      </w:r>
      <w:r>
        <w:t xml:space="preserve">Peircean accounts seat non-persons in related positions without making them Royce’s interpreter-self. Peter Skagestad,</w:t>
      </w:r>
      <w:r>
        <w:t xml:space="preserve"> </w:t>
      </w:r>
      <w:r>
        <w:t xml:space="preserve">“Peirce, Virtuality, and Semiotic”</w:t>
      </w:r>
      <w:r>
        <w:t xml:space="preserve"> </w:t>
      </w:r>
      <w:r>
        <w:t xml:space="preserve">(Twentieth World Congress of Philosophy, Boston, 1998), treats tools as constituents of human reasoning while locating the interpretant in the interpreter’s mind; Winfried Nöth,</w:t>
      </w:r>
      <w:r>
        <w:t xml:space="preserve"> </w:t>
      </w:r>
      <w:r>
        <w:t xml:space="preserve">“Semiotic Machines,”</w:t>
      </w:r>
      <w:r>
        <w:t xml:space="preserve"> </w:t>
      </w:r>
      <w:r>
        <w:rPr>
          <w:i/>
          <w:iCs/>
        </w:rPr>
        <w:t xml:space="preserve">Cybernetics and Human Knowing</w:t>
      </w:r>
      <w:r>
        <w:t xml:space="preserve"> </w:t>
      </w:r>
      <w:r>
        <w:t xml:space="preserve">9, no. 1 (2002): 5–21 (abstract), grants machines only quasi-semiosis. The camera-as-interpreter claim remains the chapter’s extension beyond Royce’s restriction of all three terms to selves (note 10).</w:t>
      </w:r>
    </w:p>
  </w:footnote>
  <w:footnote w:id="28">
    <w:p>
      <w:pPr>
        <w:pStyle w:val="FootnoteText"/>
      </w:pPr>
      <w:r>
        <w:rPr>
          <w:rStyle w:val="FootnoteReference"/>
        </w:rPr>
        <w:footnoteRef/>
      </w:r>
      <w:r>
        <w:t xml:space="preserve"> </w:t>
      </w:r>
      <w:r>
        <w:t xml:space="preserve">Charles A. Reich,</w:t>
      </w:r>
      <w:r>
        <w:t xml:space="preserve"> </w:t>
      </w:r>
      <w:r>
        <w:t xml:space="preserve">“The New Property,”</w:t>
      </w:r>
      <w:r>
        <w:t xml:space="preserve"> </w:t>
      </w:r>
      <w:r>
        <w:rPr>
          <w:i/>
          <w:iCs/>
        </w:rPr>
        <w:t xml:space="preserve">Yale Law Journal</w:t>
      </w:r>
      <w:r>
        <w:t xml:space="preserve"> </w:t>
      </w:r>
      <w:r>
        <w:t xml:space="preserve">73, no. 5 (1964): 733–787, at 751 for the grantor-power sentence quoted in the text.</w:t>
      </w:r>
    </w:p>
  </w:footnote>
  <w:footnote w:id="29">
    <w:p>
      <w:pPr>
        <w:pStyle w:val="FootnoteText"/>
      </w:pPr>
      <w:r>
        <w:rPr>
          <w:rStyle w:val="FootnoteReference"/>
        </w:rPr>
        <w:footnoteRef/>
      </w:r>
      <w:r>
        <w:t xml:space="preserve"> </w:t>
      </w:r>
      <w:r>
        <w:t xml:space="preserve">Dialogue throughout this chapter is quoted from the film’s subtitle track. Subtitles compress and paraphrase, and no quotation here has yet been confirmed against the Criterion disc.</w:t>
      </w:r>
      <w:r>
        <w:t xml:space="preserve"> </w:t>
      </w:r>
      <w:r>
        <w:rPr>
          <w:i/>
          <w:iCs/>
        </w:rPr>
        <w:t xml:space="preserve">Slacker</w:t>
      </w:r>
      <w:r>
        <w:t xml:space="preserve">, directed by Richard Linklater (Austin, TX: Detour Filmproduction, 1990; distributed by Orion Classics, 1991).</w:t>
      </w:r>
    </w:p>
  </w:footnote>
  <w:footnote w:id="30">
    <w:p>
      <w:pPr>
        <w:pStyle w:val="FootnoteText"/>
      </w:pPr>
      <w:r>
        <w:rPr>
          <w:rStyle w:val="FootnoteReference"/>
        </w:rPr>
        <w:footnoteRef/>
      </w:r>
      <w:r>
        <w:t xml:space="preserve"> </w:t>
      </w:r>
      <w:r>
        <w:t xml:space="preserve">Charles A. Reich,</w:t>
      </w:r>
      <w:r>
        <w:t xml:space="preserve"> </w:t>
      </w:r>
      <w:r>
        <w:t xml:space="preserve">“The New Property,”</w:t>
      </w:r>
      <w:r>
        <w:t xml:space="preserve"> </w:t>
      </w:r>
      <w:r>
        <w:rPr>
          <w:i/>
          <w:iCs/>
        </w:rPr>
        <w:t xml:space="preserve">Yale Law Journal</w:t>
      </w:r>
      <w:r>
        <w:t xml:space="preserve"> </w:t>
      </w:r>
      <w:r>
        <w:t xml:space="preserve">73, no. 5 (1964): 733–787, at 751 for the grantor-power sentence quoted in the text.</w:t>
      </w:r>
    </w:p>
  </w:footnote>
  <w:footnote w:id="31">
    <w:p>
      <w:pPr>
        <w:pStyle w:val="FootnoteText"/>
      </w:pPr>
      <w:r>
        <w:rPr>
          <w:rStyle w:val="FootnoteReference"/>
        </w:rPr>
        <w:footnoteRef/>
      </w:r>
      <w:r>
        <w:t xml:space="preserve"> </w:t>
      </w:r>
      <w:r>
        <w:t xml:space="preserve">Reich,</w:t>
      </w:r>
      <w:r>
        <w:t xml:space="preserve"> </w:t>
      </w:r>
      <w:r>
        <w:t xml:space="preserve">“The New Property,”</w:t>
      </w:r>
      <w:r>
        <w:t xml:space="preserve"> </w:t>
      </w:r>
      <w:r>
        <w:t xml:space="preserve">741.</w:t>
      </w:r>
    </w:p>
  </w:footnote>
  <w:footnote w:id="32">
    <w:p>
      <w:pPr>
        <w:pStyle w:val="FootnoteText"/>
      </w:pPr>
      <w:r>
        <w:rPr>
          <w:rStyle w:val="FootnoteReference"/>
        </w:rPr>
        <w:footnoteRef/>
      </w:r>
      <w:r>
        <w:t xml:space="preserve"> </w:t>
      </w:r>
      <w:r>
        <w:t xml:space="preserve">Reich,</w:t>
      </w:r>
      <w:r>
        <w:t xml:space="preserve"> </w:t>
      </w:r>
      <w:r>
        <w:t xml:space="preserve">“The New Property,”</w:t>
      </w:r>
      <w:r>
        <w:t xml:space="preserve"> </w:t>
      </w:r>
      <w:r>
        <w:t xml:space="preserve">783:</w:t>
      </w:r>
      <w:r>
        <w:t xml:space="preserve"> </w:t>
      </w:r>
      <w:r>
        <w:t xml:space="preserve">“The denial of any form of privilege or benefit on the basis of undisclosed reasons should no longer be tolerated.”</w:t>
      </w:r>
    </w:p>
  </w:footnote>
  <w:footnote w:id="33">
    <w:p>
      <w:pPr>
        <w:pStyle w:val="FootnoteText"/>
      </w:pPr>
      <w:r>
        <w:rPr>
          <w:rStyle w:val="FootnoteReference"/>
        </w:rPr>
        <w:footnoteRef/>
      </w:r>
      <w:r>
        <w:t xml:space="preserve"> </w:t>
      </w:r>
      <w:r>
        <w:t xml:space="preserve">Reich,</w:t>
      </w:r>
      <w:r>
        <w:t xml:space="preserve"> </w:t>
      </w:r>
      <w:r>
        <w:t xml:space="preserve">“The New Property,”</w:t>
      </w:r>
      <w:r>
        <w:t xml:space="preserve"> </w:t>
      </w:r>
      <w:r>
        <w:t xml:space="preserve">786:</w:t>
      </w:r>
      <w:r>
        <w:t xml:space="preserve"> </w:t>
      </w:r>
      <w:r>
        <w:t xml:space="preserve">“There are many other new forms of wealth: franchises in private businesses, equities in corporations, the right to receive privately furnished utilities and services, status in private organizations. These too may need added safeguards in the future.”</w:t>
      </w:r>
      <w:r>
        <w:t xml:space="preserve"> </w:t>
      </w:r>
      <w:r>
        <w:t xml:space="preserve">Twenty-five years later he dropped the categorical public/private distinction for large organizations: Charles A. Reich,</w:t>
      </w:r>
      <w:r>
        <w:t xml:space="preserve"> </w:t>
      </w:r>
      <w:r>
        <w:t xml:space="preserve">“The Liberty Impact of the New Property,”</w:t>
      </w:r>
      <w:r>
        <w:t xml:space="preserve"> </w:t>
      </w:r>
      <w:r>
        <w:rPr>
          <w:i/>
          <w:iCs/>
        </w:rPr>
        <w:t xml:space="preserve">William &amp; Mary Law Review</w:t>
      </w:r>
      <w:r>
        <w:t xml:space="preserve"> </w:t>
      </w:r>
      <w:r>
        <w:t xml:space="preserve">31 (1990): 295–306, at 300–01. Kali Murray,</w:t>
      </w:r>
      <w:r>
        <w:t xml:space="preserve"> </w:t>
      </w:r>
      <w:r>
        <w:t xml:space="preserve">“Charles Reich’s Unruly Administrative State,”</w:t>
      </w:r>
      <w:r>
        <w:t xml:space="preserve"> </w:t>
      </w:r>
      <w:r>
        <w:rPr>
          <w:i/>
          <w:iCs/>
        </w:rPr>
        <w:t xml:space="preserve">Yale Law Journal Forum</w:t>
      </w:r>
      <w:r>
        <w:t xml:space="preserve"> </w:t>
      </w:r>
      <w:r>
        <w:t xml:space="preserve">129 (2020): 714–722, digests the reception as dependence-plus-demand; Julie E. Cohen,</w:t>
      </w:r>
      <w:r>
        <w:t xml:space="preserve"> </w:t>
      </w:r>
      <w:r>
        <w:t xml:space="preserve">“Law for the Platform Economy,”</w:t>
      </w:r>
      <w:r>
        <w:t xml:space="preserve"> </w:t>
      </w:r>
      <w:r>
        <w:rPr>
          <w:i/>
          <w:iCs/>
        </w:rPr>
        <w:t xml:space="preserve">UC Davis Law Review</w:t>
      </w:r>
      <w:r>
        <w:t xml:space="preserve"> </w:t>
      </w:r>
      <w:r>
        <w:t xml:space="preserve">51 (2017): 133–204, reconstructs platform access and matching without citing Reich.</w:t>
      </w:r>
    </w:p>
  </w:footnote>
  <w:footnote w:id="35">
    <w:p>
      <w:pPr>
        <w:pStyle w:val="FootnoteText"/>
      </w:pPr>
      <w:r>
        <w:rPr>
          <w:rStyle w:val="FootnoteReference"/>
        </w:rPr>
        <w:footnoteRef/>
      </w:r>
      <w:r>
        <w:t xml:space="preserve"> </w:t>
      </w:r>
      <w:r>
        <w:t xml:space="preserve">Mary P. Erickson,</w:t>
      </w:r>
      <w:r>
        <w:t xml:space="preserve"> </w:t>
      </w:r>
      <w:r>
        <w:t xml:space="preserve">“</w:t>
      </w:r>
      <w:r>
        <w:t xml:space="preserve">‘I Think I Still Qualify as a Slacker … Just One That’s Currently Lucky’</w:t>
      </w:r>
      <w:r>
        <w:t xml:space="preserve">: The Myths of</w:t>
      </w:r>
      <w:r>
        <w:t xml:space="preserve"> </w:t>
      </w:r>
      <w:r>
        <w:rPr>
          <w:i/>
          <w:iCs/>
        </w:rPr>
        <w:t xml:space="preserve">Slacker</w:t>
      </w:r>
      <w:r>
        <w:t xml:space="preserve">, Austin, and Richard Linklater,”</w:t>
      </w:r>
      <w:r>
        <w:t xml:space="preserve"> </w:t>
      </w:r>
      <w:r>
        <w:t xml:space="preserve">in</w:t>
      </w:r>
      <w:r>
        <w:t xml:space="preserve"> </w:t>
      </w:r>
      <w:r>
        <w:rPr>
          <w:i/>
          <w:iCs/>
        </w:rPr>
        <w:t xml:space="preserve">ReFocus: The Films of Richard Linklater</w:t>
      </w:r>
      <w:r>
        <w:t xml:space="preserve">, ed. Kim Wilkins and Timotheus Vermeulen (Edinburgh: Edinburgh University Press, 2022), 15–33; Joshua Long,</w:t>
      </w:r>
      <w:r>
        <w:t xml:space="preserve"> </w:t>
      </w:r>
      <w:r>
        <w:rPr>
          <w:i/>
          <w:iCs/>
        </w:rPr>
        <w:t xml:space="preserve">Weird City: Sense of Place and Creative Resistance in Austin, Texas</w:t>
      </w:r>
      <w:r>
        <w:t xml:space="preserve"> </w:t>
      </w:r>
      <w:r>
        <w:t xml:space="preserve">(Austin: University of Texas Press, 2010). The Long quotation was located by search inside an ebook edition and its page should be confirmed against print. Long’s subject is the enclosure of Austin’s weirdness in the 2000s rather than the ecology of 1990, so he stands as the later half of the story rather than as a witness to this one. See also Andrew Busch’s review essay in</w:t>
      </w:r>
      <w:r>
        <w:t xml:space="preserve"> </w:t>
      </w:r>
      <w:r>
        <w:rPr>
          <w:i/>
          <w:iCs/>
        </w:rPr>
        <w:t xml:space="preserve">American Quarterly</w:t>
      </w:r>
      <w:r>
        <w:t xml:space="preserve"> </w:t>
      </w:r>
      <w:r>
        <w:t xml:space="preserve">63, no. 2 (2011): 399–408, which faults Long for attending to middle-class South Austin while overlooking gentrification on the east side, a caveat that bears directly on who a reaching city reaches.</w:t>
      </w:r>
    </w:p>
  </w:footnote>
  <w:footnote w:id="36">
    <w:p>
      <w:pPr>
        <w:pStyle w:val="FootnoteText"/>
      </w:pPr>
      <w:r>
        <w:rPr>
          <w:rStyle w:val="FootnoteReference"/>
        </w:rPr>
        <w:footnoteRef/>
      </w:r>
      <w:r>
        <w:t xml:space="preserve"> </w:t>
      </w:r>
      <w:r>
        <w:t xml:space="preserve">Robert N. Bellah,</w:t>
      </w:r>
      <w:r>
        <w:t xml:space="preserve"> </w:t>
      </w:r>
      <w:r>
        <w:t xml:space="preserve">“Tradition and Community in the Humanities,”</w:t>
      </w:r>
      <w:r>
        <w:t xml:space="preserve"> </w:t>
      </w:r>
      <w:r>
        <w:rPr>
          <w:i/>
          <w:iCs/>
        </w:rPr>
        <w:t xml:space="preserve">Community Colleges Humanities Review</w:t>
      </w:r>
      <w:r>
        <w:t xml:space="preserve"> </w:t>
      </w:r>
      <w:r>
        <w:t xml:space="preserve">8 (1987): 5–6, credits Royce for community of memory paired with hope. Annette Kuhn, Daniel Biltereyst, and Philippe Meers,</w:t>
      </w:r>
      <w:r>
        <w:t xml:space="preserve"> </w:t>
      </w:r>
      <w:r>
        <w:t xml:space="preserve">“Memories of Cinemagoing and Film Experience,”</w:t>
      </w:r>
      <w:r>
        <w:t xml:space="preserve"> </w:t>
      </w:r>
      <w:r>
        <w:rPr>
          <w:i/>
          <w:iCs/>
        </w:rPr>
        <w:t xml:space="preserve">Memory Studies</w:t>
      </w:r>
      <w:r>
        <w:t xml:space="preserve"> </w:t>
      </w:r>
      <w:r>
        <w:t xml:space="preserve">10, no. 1 (2017): 3–16, supply adjacent cinema-memory couch without a Roycean application. The Erickson/Long-to-Royce join is the chapter’s.</w:t>
      </w:r>
    </w:p>
  </w:footnote>
  <w:footnote w:id="38">
    <w:p>
      <w:pPr>
        <w:pStyle w:val="FootnoteText"/>
      </w:pPr>
      <w:r>
        <w:rPr>
          <w:rStyle w:val="FootnoteReference"/>
        </w:rPr>
        <w:footnoteRef/>
      </w:r>
      <w:r>
        <w:t xml:space="preserve"> </w:t>
      </w:r>
      <w:r>
        <w:t xml:space="preserve">David Stark and Ivana Pais,</w:t>
      </w:r>
      <w:r>
        <w:t xml:space="preserve"> </w:t>
      </w:r>
      <w:r>
        <w:t xml:space="preserve">“Algorithmic Management in the Platform Economy,”</w:t>
      </w:r>
      <w:r>
        <w:t xml:space="preserve"> </w:t>
      </w:r>
      <w:r>
        <w:rPr>
          <w:i/>
          <w:iCs/>
        </w:rPr>
        <w:t xml:space="preserve">Sociologica</w:t>
      </w:r>
      <w:r>
        <w:t xml:space="preserve"> </w:t>
      </w:r>
      <w:r>
        <w:t xml:space="preserve">14, no. 3 (2020): 47–72, at 48 and 49:</w:t>
      </w:r>
      <w:r>
        <w:t xml:space="preserve"> </w:t>
      </w:r>
      <w:r>
        <w:t xml:space="preserve">“whereas for markets the verb is contract, the verb for hierarchy is command, and for networks it is collaborate. By contrast, platforms co-opt,”</w:t>
      </w:r>
      <w:r>
        <w:t xml:space="preserve"> </w:t>
      </w:r>
      <w:r>
        <w:t xml:space="preserve">and</w:t>
      </w:r>
      <w:r>
        <w:t xml:space="preserve"> </w:t>
      </w:r>
      <w:r>
        <w:t xml:space="preserve">“platform owners co-opt the behavior of providers and users, enrolling them in the practices of algorithmic management without managerial authority having been delegated to them.”</w:t>
      </w:r>
    </w:p>
  </w:footnote>
  <w:footnote w:id="39">
    <w:p>
      <w:pPr>
        <w:pStyle w:val="FootnoteText"/>
      </w:pPr>
      <w:r>
        <w:rPr>
          <w:rStyle w:val="FootnoteReference"/>
        </w:rPr>
        <w:footnoteRef/>
      </w:r>
      <w:r>
        <w:t xml:space="preserve"> </w:t>
      </w:r>
      <w:r>
        <w:t xml:space="preserve">Amazon.com, Inc.,</w:t>
      </w:r>
      <w:r>
        <w:t xml:space="preserve"> </w:t>
      </w:r>
      <w:r>
        <w:t xml:space="preserve">“Prime Video Direct Content Providers: Licensing Consideration and Title Review,”</w:t>
      </w:r>
      <w:r>
        <w:t xml:space="preserve"> </w:t>
      </w:r>
      <w:r>
        <w:t xml:space="preserve">Prime Video Tech Docs, last updated August 5, 2025, a living page quoted as retrieved on August 1, 2026. The sentence carrying the phrase</w:t>
      </w:r>
      <w:r>
        <w:t xml:space="preserve"> </w:t>
      </w:r>
      <w:r>
        <w:t xml:space="preserve">“engagement standards”</w:t>
      </w:r>
      <w:r>
        <w:t xml:space="preserve"> </w:t>
      </w:r>
      <w:r>
        <w:t xml:space="preserve">and the words</w:t>
      </w:r>
      <w:r>
        <w:t xml:space="preserve"> </w:t>
      </w:r>
      <w:r>
        <w:t xml:space="preserve">“may be subject to removal”</w:t>
      </w:r>
      <w:r>
        <w:t xml:space="preserve"> </w:t>
      </w:r>
      <w:r>
        <w:t xml:space="preserve">follows the review sentence on the same page.</w:t>
      </w:r>
    </w:p>
  </w:footnote>
  <w:footnote w:id="40">
    <w:p>
      <w:pPr>
        <w:pStyle w:val="FootnoteText"/>
      </w:pPr>
      <w:r>
        <w:rPr>
          <w:rStyle w:val="FootnoteReference"/>
        </w:rPr>
        <w:footnoteRef/>
      </w:r>
      <w:r>
        <w:t xml:space="preserve"> </w:t>
      </w:r>
      <w:r>
        <w:t xml:space="preserve">Rideshare Drivers United and Asian Law Caucus,</w:t>
      </w:r>
      <w:r>
        <w:t xml:space="preserve"> </w:t>
      </w:r>
      <w:r>
        <w:rPr>
          <w:i/>
          <w:iCs/>
        </w:rPr>
        <w:t xml:space="preserve">Fired by an App: The Toll of Secret Algorithms and Unchecked Discrimination on California Rideshare Drivers</w:t>
      </w:r>
      <w:r>
        <w:t xml:space="preserve"> </w:t>
      </w:r>
      <w:r>
        <w:t xml:space="preserve">(report, February 2023), 15, 19. The two-thirds figure pools temporary suspension with permanent removal, and the thirty percent is of drivers who were deactivated rather than of all 810 surveyed. Recruitment ran through the union’s networks, two community organizations, and paid advertising; the report says of its own respondents that they</w:t>
      </w:r>
      <w:r>
        <w:t xml:space="preserve"> </w:t>
      </w:r>
      <w:r>
        <w:t xml:space="preserve">“may be more likely to be inclined to participate in a survey as a way of documenting or sharing their experience with deactivation.”</w:t>
      </w:r>
    </w:p>
  </w:footnote>
  <w:footnote w:id="41">
    <w:p>
      <w:pPr>
        <w:pStyle w:val="FootnoteText"/>
      </w:pPr>
      <w:r>
        <w:rPr>
          <w:rStyle w:val="FootnoteReference"/>
        </w:rPr>
        <w:footnoteRef/>
      </w:r>
      <w:r>
        <w:t xml:space="preserve"> </w:t>
      </w:r>
      <w:r>
        <w:t xml:space="preserve">Foreign Exchange Committee, Federal Reserve Bank of New York,</w:t>
      </w:r>
      <w:r>
        <w:t xml:space="preserve"> </w:t>
      </w:r>
      <w:r>
        <w:rPr>
          <w:i/>
          <w:iCs/>
        </w:rPr>
        <w:t xml:space="preserve">Annual Report 1991</w:t>
      </w:r>
      <w:r>
        <w:t xml:space="preserve">, 8, which describes the then-planned electronic broking systems as under development in November 1991. Reuters Dealing 2000-2 opened in 1992; EBS launched in September 1993, following a funding decision in January 1990 and a formal partnership in May 1992. The film’s Dobie run was in 1990 and its New York opening on 5 July 1991, so the venues follow the film by one to three years rather than accompanying it.</w:t>
      </w:r>
    </w:p>
  </w:footnote>
  <w:footnote w:id="42">
    <w:p>
      <w:pPr>
        <w:pStyle w:val="FootnoteText"/>
      </w:pPr>
      <w:r>
        <w:rPr>
          <w:rStyle w:val="FootnoteReference"/>
        </w:rPr>
        <w:footnoteRef/>
      </w:r>
      <w:r>
        <w:t xml:space="preserve"> </w:t>
      </w:r>
      <w:r>
        <w:t xml:space="preserve">Bank for International Settlements,</w:t>
      </w:r>
      <w:r>
        <w:t xml:space="preserve"> </w:t>
      </w:r>
      <w:r>
        <w:rPr>
          <w:i/>
          <w:iCs/>
        </w:rPr>
        <w:t xml:space="preserve">Quarterly Review</w:t>
      </w:r>
      <w:r>
        <w:t xml:space="preserve">, December 2019, 41–42:</w:t>
      </w:r>
      <w:r>
        <w:t xml:space="preserve"> </w:t>
      </w:r>
      <w:r>
        <w:t xml:space="preserve">“</w:t>
      </w:r>
      <w:r>
        <w:t xml:space="preserve">‘Indirect’</w:t>
      </w:r>
      <w:r>
        <w:t xml:space="preserve"> </w:t>
      </w:r>
      <w:r>
        <w:t xml:space="preserve">refers to the involvement of a third party in the matching process. This can, for instance, be a traditional voice broker, an electronic broking platform or a multi-bank platform.”</w:t>
      </w:r>
      <w:r>
        <w:t xml:space="preserve"> </w:t>
      </w:r>
      <w:r>
        <w:t xml:space="preserve">The venues say the same from inside:</w:t>
      </w:r>
      <w:r>
        <w:t xml:space="preserve"> </w:t>
      </w:r>
      <w:r>
        <w:rPr>
          <w:i/>
          <w:iCs/>
        </w:rPr>
        <w:t xml:space="preserve">LSEG FX UK MTF Rule Book</w:t>
      </w:r>
      <w:r>
        <w:t xml:space="preserve">, v1.2, effective 1 December 2025, Rule 1.1.4, 13,</w:t>
      </w:r>
      <w:r>
        <w:t xml:space="preserve"> </w:t>
      </w:r>
      <w:r>
        <w:t xml:space="preserve">“LSEG is not a party to … Transactions conducted on the Platform. Payment and settlement … are the sole responsibility of the two Participants concerned,”</w:t>
      </w:r>
      <w:r>
        <w:t xml:space="preserve"> </w:t>
      </w:r>
      <w:r>
        <w:t xml:space="preserve">and</w:t>
      </w:r>
      <w:r>
        <w:t xml:space="preserve"> </w:t>
      </w:r>
      <w:r>
        <w:rPr>
          <w:i/>
          <w:iCs/>
        </w:rPr>
        <w:t xml:space="preserve">EBS MTF Rulebook</w:t>
      </w:r>
      <w:r>
        <w:t xml:space="preserve">, Rule 2.9, 6,</w:t>
      </w:r>
      <w:r>
        <w:t xml:space="preserve"> </w:t>
      </w:r>
      <w:r>
        <w:t xml:space="preserve">“The Operator is not a party to any Transaction.”</w:t>
      </w:r>
    </w:p>
  </w:footnote>
  <w:footnote w:id="43">
    <w:p>
      <w:pPr>
        <w:pStyle w:val="FootnoteText"/>
      </w:pPr>
      <w:r>
        <w:rPr>
          <w:rStyle w:val="FootnoteReference"/>
        </w:rPr>
        <w:footnoteRef/>
      </w:r>
      <w:r>
        <w:t xml:space="preserve"> </w:t>
      </w:r>
      <w:r>
        <w:t xml:space="preserve">The tipping is attributed to network externalities in the central-bank literature of the period and produced one dominant venue per currency pair rather than one worldwide, with EBS and Reuters splitting the major pairs between them.</w:t>
      </w:r>
    </w:p>
  </w:footnote>
  <w:footnote w:id="44">
    <w:p>
      <w:pPr>
        <w:pStyle w:val="FootnoteText"/>
      </w:pPr>
      <w:r>
        <w:rPr>
          <w:rStyle w:val="FootnoteReference"/>
        </w:rPr>
        <w:footnoteRef/>
      </w:r>
      <w:r>
        <w:t xml:space="preserve"> </w:t>
      </w:r>
      <w:r>
        <w:rPr>
          <w:i/>
          <w:iCs/>
        </w:rPr>
        <w:t xml:space="preserve">LSEG FX SEF Rulebook</w:t>
      </w:r>
      <w:r>
        <w:t xml:space="preserve">, v4.1, effective 11 August 2026, Rules 302(g)–(h), at 31, which oblige written reasons within fourteen days and provide for reconsideration;</w:t>
      </w:r>
      <w:r>
        <w:t xml:space="preserve"> </w:t>
      </w:r>
      <w:r>
        <w:rPr>
          <w:i/>
          <w:iCs/>
        </w:rPr>
        <w:t xml:space="preserve">LSEG FX UK MTF Rule Book</w:t>
      </w:r>
      <w:r>
        <w:t xml:space="preserve">, v1.2, Rule 3.1.5, at 21, permitting revocation, suspension, or restriction of access</w:t>
      </w:r>
      <w:r>
        <w:t xml:space="preserve"> </w:t>
      </w:r>
      <w:r>
        <w:t xml:space="preserve">“in the sole discretion of LSEG,”</w:t>
      </w:r>
      <w:r>
        <w:t xml:space="preserve"> </w:t>
      </w:r>
      <w:r>
        <w:t xml:space="preserve">qualified at Rule 5.1.4, at 27, only by an endeavour to give prior written notice</w:t>
      </w:r>
      <w:r>
        <w:t xml:space="preserve"> </w:t>
      </w:r>
      <w:r>
        <w:t xml:space="preserve">“to the extent it is reasonably able to.”</w:t>
      </w:r>
      <w:r>
        <w:t xml:space="preserve"> </w:t>
      </w:r>
      <w:r>
        <w:t xml:space="preserve">The FX Global Code (updated December 2024), Principle 9, obliges a platform to be transparent about how it handles an order and is silent on how it handles a party.</w:t>
      </w:r>
    </w:p>
  </w:footnote>
  <w:footnote w:id="45">
    <w:p>
      <w:pPr>
        <w:pStyle w:val="FootnoteText"/>
      </w:pPr>
      <w:r>
        <w:rPr>
          <w:rStyle w:val="FootnoteReference"/>
        </w:rPr>
        <w:footnoteRef/>
      </w:r>
      <w:r>
        <w:t xml:space="preserve"> </w:t>
      </w:r>
      <w:r>
        <w:t xml:space="preserve">The counterfactual is to restore a forbidden direct edge between a third party’s two neighbours and read whether the third stays in the coordination’s irreducible core. The results are in-silico throughout, run over stylized three-element Boolean models, and classify rather than measure.</w:t>
      </w:r>
    </w:p>
  </w:footnote>
  <w:footnote w:id="47">
    <w:p>
      <w:pPr>
        <w:pStyle w:val="FootnoteText"/>
      </w:pPr>
      <w:r>
        <w:rPr>
          <w:rStyle w:val="FootnoteReference"/>
        </w:rPr>
        <w:footnoteRef/>
      </w:r>
      <w:r>
        <w:t xml:space="preserve"> </w:t>
      </w:r>
      <w:r>
        <w:t xml:space="preserve">Parker and Klein,</w:t>
      </w:r>
      <w:r>
        <w:t xml:space="preserve"> </w:t>
      </w:r>
      <w:r>
        <w:t xml:space="preserve">“Josiah Royce,”</w:t>
      </w:r>
      <w:r>
        <w:t xml:space="preserve"> </w:t>
      </w:r>
      <w:r>
        <w:t xml:space="preserve">§2.2.2: common past and future events are</w:t>
      </w:r>
      <w:r>
        <w:t xml:space="preserve"> </w:t>
      </w:r>
      <w:r>
        <w:t xml:space="preserve">“the basis of”</w:t>
      </w:r>
      <w:r>
        <w:t xml:space="preserve"> </w:t>
      </w:r>
      <w:r>
        <w:t xml:space="preserve">loyalty; genuine communities are defined by true loyalty, others by predatory loyalty. Loyalty is constitutive of conscious community in Royce’s Lecture X, not a fourth condition of the thin three-condition community of memory.</w:t>
      </w:r>
    </w:p>
  </w:footnote>
  <w:footnote w:id="49">
    <w:p>
      <w:pPr>
        <w:pStyle w:val="FootnoteText"/>
      </w:pPr>
      <w:r>
        <w:rPr>
          <w:rStyle w:val="FootnoteReference"/>
        </w:rPr>
        <w:footnoteRef/>
      </w:r>
      <w:r>
        <w:t xml:space="preserve"> </w:t>
      </w:r>
      <w:r>
        <w:t xml:space="preserve">Algorithmacy is this chapter’s term. I am developing the construct in unpublished work; the definition here is the one the argument requires.</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imes New Roman" w:cstheme="majorBidi" w:eastAsia="Times New Roman" w:eastAsiaTheme="majorEastAsia" w:hAnsi="Times New Roman"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imes New Roman" w:cstheme="majorBidi" w:eastAsia="Times New Roman"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imes New Roman" w:cstheme="majorBidi" w:eastAsia="Times New Roman"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2026-08-12T15:48:10Z</dcterms:created>
  <dcterms:modified xsi:type="dcterms:W3CDTF">2026-08-12T15:48:10Z</dcterms:modified>
</cp:coreProperties>
</file>

<file path=docProps/custom.xml><?xml version="1.0" encoding="utf-8"?>
<Properties xmlns="http://schemas.openxmlformats.org/officeDocument/2006/custom-properties" xmlns:vt="http://schemas.openxmlformats.org/officeDocument/2006/docPropsVTypes"/>
</file>