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pStyle w:val="Heading1"/>
        <w:keepNext w:val="0"/>
        <w:keepLines w:val="0"/>
        <w:spacing w:after="240"/>
        <w:jc w:val="left"/>
        <w:rPr>
          <w:b/>
          <w:bCs/>
          <w:sz w:val="48"/>
          <w:szCs w:val="48"/>
        </w:rPr>
      </w:pPr>
      <w:r>
        <w:rPr>
          <w:rFonts w:ascii="Times New Roman" w:eastAsia="Times New Roman" w:hAnsi="Times New Roman" w:cs="Times New Roman"/>
          <w:b w:val="0"/>
          <w:bCs w:val="0"/>
          <w:i w:val="0"/>
          <w:color w:val="auto"/>
        </w:rPr>
        <w:t>Algorithmacy and Sovereignty: Toward a Coordinative Sovereignty for the Platform Era</w:t>
      </w:r>
    </w:p>
    <w:p>
      <w:pPr>
        <w:pStyle w:val="Heading2"/>
        <w:keepNext w:val="0"/>
        <w:keepLines w:val="0"/>
        <w:spacing w:before="180" w:after="180"/>
        <w:jc w:val="left"/>
        <w:rPr>
          <w:b/>
          <w:bCs/>
          <w:sz w:val="36"/>
          <w:szCs w:val="36"/>
        </w:rPr>
      </w:pPr>
      <w:r>
        <w:rPr>
          <w:rFonts w:ascii="Times New Roman" w:eastAsia="Times New Roman" w:hAnsi="Times New Roman" w:cs="Times New Roman"/>
          <w:b w:val="0"/>
          <w:bCs w:val="0"/>
          <w:i w:val="0"/>
          <w:color w:val="auto"/>
        </w:rPr>
        <w:t>Abstract</w:t>
      </w:r>
    </w:p>
    <w:p>
      <w:pPr>
        <w:spacing w:before="120" w:after="120"/>
        <w:jc w:val="left"/>
      </w:pPr>
      <w:r>
        <w:t>A firm can meet every requirement of Europe’s digital regulation and still see its market position determined by algorithmic choices it cannot observe, anticipate, or challenge. The existing architecture of digital sovereignty extends literacy to data, infrastructure, and code. It secures the capacity to read systems and hold their operators to account through disclosure and rights. Platform coordination operates through a different mechanism. An algorithmic mediator stands between parties who never deal with one another directly, interprets both sides simultaneously, and commits to outcomes that neither party controls, continuously adjusting them in pursuit of its own objectives. This relationship cannot be governed by legibility. It requires a new communicative competence—algorithmacy—and a reconceived form of autonomy, which the chapter names coordinative sovereignty. Coordinative sovereignty is the standing to shape the terms of mediation within a coordination one cannot leave.</w:t>
      </w:r>
    </w:p>
    <w:p>
      <w:pPr>
        <w:spacing w:before="120" w:after="120"/>
        <w:jc w:val="left"/>
      </w:pPr>
      <w:r>
        <w:rPr>
          <w:i/>
          <w:iCs/>
        </w:rPr>
        <w:t>Keywords:</w:t>
      </w:r>
      <w:r>
        <w:t xml:space="preserve"> digital sovereignty, coordinative sovereignty, algorithmacy, platform coordination, co-optation, algorithmic management, non-domination, exit and voice, contestability, data trusts</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1. Introduction</w:t>
      </w:r>
    </w:p>
    <w:p>
      <w:pPr>
        <w:spacing w:before="120" w:after="120"/>
        <w:jc w:val="left"/>
      </w:pPr>
      <w:r>
        <w:t>Europe has spent a decade developing the world's most ambitious digital regulatory framework. The General Data Protection Regulation governs personal data; the AI Act classifies and constrains AI systems by risk; the Digital Markets Act disciplines gatekeeping; the Digital Services Act reaches content and recommendations; and the NIS2 Directive mandates cybersecurity governance. Together, these instruments give European actors a degree of control over data, infrastructure, and code that no other jurisdiction matches (Bradford, 2020; Floridi, 2020; Fratini et al., 2024).</w:t>
      </w:r>
    </w:p>
    <w:p>
      <w:pPr>
        <w:spacing w:before="120" w:after="120"/>
        <w:jc w:val="left"/>
      </w:pPr>
      <w:r>
        <w:t>Yet a firm can satisfy every one of these requirements and remain strategically helpless. An independent software vendor with impeccable data-protection practices still depends, for its entire customer access, on an application store whose rankings and review decisions it cannot see, predict, or contest. A merchant in full GDPR compliance watches its sales collapse when the marketplace changes how it surfaces listings. A creator obeys every platform policy and loses an audience to a recommendation change announced nowhere. Compliance governs how these actors handle data. Their market positions are determined elsewhere, within the algorithmic systems that decide what to surface and what to bury (Cutolo &amp; Kenney, 2021; Rahman, 2021; Rahman et al., 2024).</w:t>
      </w:r>
    </w:p>
    <w:p>
      <w:pPr>
        <w:spacing w:before="120" w:after="120"/>
        <w:jc w:val="left"/>
      </w:pPr>
      <w:r>
        <w:t>Behind the gap lies a pattern older than the platforms: sovereignty has never stood alone. Each historical form of sovereignty was paired with, and made possible by, a communicative sensibility, a competence for handling the medium through which authority was exercised and contested. Oral orders required oracy. The literate state required literacy, and its digital extension requires an enlarged literacy that can read code and data. The platform era has produced a situation these sensibilities cannot govern, and it calls for a new one, which the companion literature to this chapter names algorithmacy (Author, 2026).</w:t>
      </w:r>
    </w:p>
    <w:p>
      <w:pPr>
        <w:spacing w:before="120" w:after="120"/>
        <w:jc w:val="left"/>
      </w:pPr>
      <w:r>
        <w:t>What sets the platform situation apart can be stated exactly. Model a coordination as a small causal system and ask whether the mediating third party could be replaced by a direct tie between the two parties it stands between. Some mediators can be replaced this way. Others cannot. That single distinction decides whether an actor’s remaining power is the power to leave or the power to be heard.</w:t>
      </w:r>
    </w:p>
    <w:p>
      <w:pPr>
        <w:spacing w:before="120" w:after="120"/>
        <w:jc w:val="left"/>
      </w:pPr>
      <w:r>
        <w:t xml:space="preserve">Where the mediator cannot be left, the sovereignty of independence is empty, and the actor’s autonomy has to be reconceived. This chapter names the reconceived form coordinative sovereignty: standing within a coordination one cannot exit, the power to shape the terms of one’s mediation, to contest the mediator’s arbitrary power, and to hold a share in the governance of the arrangement. Digital sovereignty asks who controls the infrastructure. Coordinative sovereignty asks what autonomy remains for the actor coordinating through it. </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2. Sovereignty and its sensibilities</w:t>
      </w:r>
    </w:p>
    <w:p>
      <w:pPr>
        <w:spacing w:before="120" w:after="120"/>
        <w:jc w:val="left"/>
      </w:pPr>
      <w:r>
        <w:t>Sovereignty is usually sorted by what it governs, by who claims it, or by which layer of technology is at issue (Couture &amp; Toupin, 2019; Krasner, 1999; Pohle &amp; Thiel, 2020; Roberts et al., 2021). This chapter adds a different axis. Every historical form of sovereignty has depended on a communicative sensibility that made the authority legible and contestable to those subject to it. Without competence, sovereignty cannot be exercised or held to account. Three such sensibilities mark three eras: oracy, literacy, and algorithmacy.</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2.1 Oracy and the oral order</w:t>
      </w:r>
    </w:p>
    <w:p>
      <w:pPr>
        <w:spacing w:before="120" w:after="120"/>
        <w:jc w:val="left"/>
      </w:pPr>
      <w:r>
        <w:t>Before writing, authority was carried in speech, memory, and presence. Law was what the elders could recite. Oaths bound because they were witnessed, and a ruler’s word governed to the reach of the voices that could repeat it. Custom held because it could be remembered and performed; disputes were settled in the hearing of the community, and legitimacy rested on the capacity to speak and be heard in the right forms. Oracy was the competence that let a member of such an order participate in its authority: give testimony, hold others to their word, carry the customary rules that constituted the group. Within its range, that sovereignty was real. Beyond its range, it simply stopped. An oral order could not lay its law down in a fixed text, check today’s ruling against last year’s, or transmit a rule past the reach of living memory.</w:t>
      </w:r>
    </w:p>
    <w:p>
      <w:pPr>
        <w:spacing w:before="120" w:after="120"/>
        <w:jc w:val="left"/>
      </w:pPr>
      <w:r>
        <w:t>The pattern is naked in the oral case: a form of authority, a medium through which it operates, and a sensibility that allows the governed to participate and push back. When the medium changes, the old sensibility does not automatically govern the new one, and a period follows in which authority outruns the capacity of the governed to contest it. The transition from oral to literate order was such a period. Those who could write governed those who could not, and the spread of literacy was, among other things, the slow closing of that gap. The chapter’s claim is that platform coordination has opened a gap of the same shape between those who can work the systems that now coordinate economic life and those who are worked by them, and that closing it will again require the diffusion of a competence. Seeing the pattern in the oral case, where the stakes are plain and the analytics simple, prepares the eye for the platform case, where the medium is opaque, and the stakes are buried under the sophistication of the systems involved.</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2.2 Literacy and the democratic state</w:t>
      </w:r>
    </w:p>
    <w:p>
      <w:pPr>
        <w:spacing w:before="120" w:after="120"/>
        <w:jc w:val="left"/>
      </w:pPr>
      <w:r>
        <w:t>Writing changed the terms. A written rule persists while memory drifts, travels without its author, and can be laid beside another writing and compared. These three properties, persistence, portability, and comparability, made a new scale of coordination possible, and with it a new kind of political authority. The modern state is a creature of the archive, the census, and the code of law. It sees and governs through writing (Scott, 1998).</w:t>
      </w:r>
    </w:p>
    <w:p>
      <w:pPr>
        <w:spacing w:before="120" w:after="120"/>
        <w:jc w:val="left"/>
      </w:pPr>
      <w:r>
        <w:t>The same properties that enable the state to govern also enable its subjects to contest it. A literate public could read what the state wrote, lay one pronouncement beside another, and apply critical reason to authority. The periodical press and the reading public that formed around it created a sphere in which private persons reasoned together about public power (Habermas, 1962/1989), and the print-borne imagining of a shared community underwrote the democratic nation-state (Anderson, 1983/2006). Democratic sovereignty rests on literacy in this constitutive sense: citizens govern themselves to the degree they can read what institutions write and hold those institutions to account through textual means (Nussbaum, 2006; Sen, 1999). The reach of that sovereignty is the reach of a literate public.</w:t>
      </w:r>
    </w:p>
    <w:p>
      <w:pPr>
        <w:spacing w:before="120" w:after="120"/>
        <w:jc w:val="left"/>
      </w:pPr>
      <w:r>
        <w:t>Media theory has long paired forms of authority with the media that carry them. Innis (1951) traced how a civilization’s dominant medium biases its characteristic form of power, and Eisenstein (1979) showed how the printing press reorganized the authority of church and state. The relationship runs both ways. A medium enables a scale of coordination and a form of authority, and the authority in turn entrenches the media that serve it, so the two grow up together. What the chapter needs is the modest claim that survives every qualification of media determinism: a form of sovereignty and a communicative sensibility are made together, and sovereignty cannot be exercised or contested by those who lack the sensibility its medium requires.</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2.3 Digital sovereignty as extended literacy</w:t>
      </w:r>
    </w:p>
    <w:p>
      <w:pPr>
        <w:spacing w:before="120" w:after="120"/>
        <w:jc w:val="left"/>
      </w:pPr>
      <w:r>
        <w:t>Digital sovereignty, in most of its current forms, is the literate sensibility carried into the digital domain. The term refers to the ability of states, organizations, and communities to exercise control over their digital infrastructures, data, and technologies (Floridi, 2020; Hummel et al., 2021; Pohle &amp; Thiel, 2020), and the instruments through which it is pursued are technologies of reading and writing. The AI Act classifies systems and imposes documentation and transparency duties. The GDPR establishes data-subject rights exercised through notice, consent, access, and record-keeping. NIS2 mandates written cybersecurity governance. Each is a mechanism by which an actor with enough legal, technical, and regulatory literacy can inspect a system, compare it against a standard, and hold its operator to account (Braun &amp; Hummel, 2025; Fratini et al., 2024; Schmuntzsch et al., 2025). Digital sovereignty demands new registers of reading- legal, technical, and regulatory- but its logic is continuous with the literate order. It governs by rendering the digital object legible and attaching consequences to what it reveals. Where an actor can read the infrastructure, the data, and the code, and where an institution can act on that reading, digital sovereignty is attainable.</w:t>
      </w:r>
    </w:p>
    <w:p>
      <w:pPr>
        <w:spacing w:before="120" w:after="120"/>
        <w:jc w:val="left"/>
      </w:pPr>
      <w:r>
        <w:t>The three sensibilities are nested. Literacy presupposes the structured communication that oracy names, adding persistence, portability, and comparability. Digital sovereignty presupposes literacy and extends it to new objects: a compliance officer is still a reader, working new registers on new material. The one completed change in kind is the first, from speech to writing: a scribe is a different creature from a better speaker. The nesting matters in two ways. First, each new sovereignty layer builds on the old rather than replacing it. A digital sovereign still needs the literate institutions of the state, and the state still rests on the communicative practices that precede writing. A coordinative sovereignty, when it arrives, will likewise sit above digital and democratic sovereignty, governing a layer the others cannot reach while depending on the competences they secured. Second, the nesting explains the characteristic error the chapter diagnoses. Because each sensibility is real and hard-won, its holders meet a new situation with the competence they already have. Faced with platform coordination, the literate response is to demand more disclosure, more documentation, more rights to read, because reading is what the literate know how to do. The response addresses the layer the sensibility can grasp and leaves untouched the layer it cannot. Governing a new medium with an old sensibility is a recurring mistake, and naming that sensibility a 'platform era' is the first step past it.</w:t>
      </w:r>
    </w:p>
    <w:p>
      <w:pPr>
        <w:spacing w:before="120" w:after="120"/>
        <w:jc w:val="left"/>
      </w:pPr>
      <w:r>
        <w:t>The question the chapter pursues, then, is whether platform coordination is a further change in kind: a situation that reading, however extended, cannot govern, and therefore a sovereignty that literacy cannot supply.</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3. The platform turn: coordination through an opaque, interested mediator</w:t>
      </w:r>
    </w:p>
    <w:p>
      <w:pPr>
        <w:spacing w:before="120" w:after="120"/>
        <w:jc w:val="left"/>
      </w:pPr>
      <w:r>
        <w:t>Organizational theory recognizes three mechanisms for coordinating economic activity: markets coordinate through price, hierarchies through authority, and networks through trust and reciprocity (Adler, 2001; Powell, 1990; Thompson, 2003; Williamson, 1975). Platform coordination is sometimes offered as a fourth term. Stark and Vanden Broeck (2024) write that where actors in hierarchies command, in markets contract, and in networks collaborate, on platforms they are co-opted: enrolled into an algorithmic system without delegated authority and without the explicit contracts that mark employment or exchange. The word carries an older meaning in organizational theory. Selznick’s (1949) co-optation of outside actors into an organization’s leadership to secure its stability is the harder case. Where Selznick’s co-opted gained a limited seat, the platform-enrolled gained no seat and no share, only a determination.</w:t>
      </w:r>
    </w:p>
    <w:p>
      <w:pPr>
        <w:spacing w:before="120" w:after="120"/>
        <w:jc w:val="left"/>
      </w:pPr>
      <w:r>
        <w:t>The observation is important, and it is easy to overclaim. Do platforms really introduce a new coordination logic in Powell’s sense? What they run is largely the existing logics in algorithmic form: algorithmic pricing that clears supply and demand, algorithmic command that assigns and deactivates, algorithmic reputation that scores and ranks. Read as a claim about coordination logic, “a fourth mechanism” invites the familiar objections that algorithmic management is hierarchy in new clothes, digital Taylorism, the automation of managerial control (Kellogg et al., 2020; Rahman, 2021), or that platforms are hybrids of market and hierarchy (Robinson &amp; Meijerink, 2026; Vallas &amp; Schor, 2020).</w:t>
      </w:r>
    </w:p>
    <w:p>
      <w:pPr>
        <w:spacing w:before="120" w:after="120"/>
        <w:jc w:val="left"/>
      </w:pPr>
      <w:r>
        <w:t>The novelty lies elsewhere, and three things have to be kept apart to find it. The coordination logic — price, authority, trust — is old. The topology is old too: a third party standing between two others who never deal directly has been the broker’s, the dealer’s, and the auctioneer’s position for centuries, and the sociological analysis of the triad is itself a century old (Simmel, 1908/1950). Network sociology built a whole literature on the profits of that position, from the broker who bridges disconnected others (Burt, 2004) to the broker who joins the parties it stands between (Obstfeld, 2005). What is new is a conjunction of two features of the mediator. It is opaque: its determinations are produced by high-dimensional systems that resist interpretation. And it is interested and adaptive: it pursues its own objectives and continuously revises its rules to achieve them. Coordination through an opaque, interested, adaptive mediator is the governance problem none of the three classical mechanisms was built to handle. The coordinated actor takes no orders from a manager and signs no negotiated deal. It is drawn into a system that assigns, ranks, prices, and recommends, whose rules it cannot see and whose objectives it does not share, and its compliance is produced by the system’s ordinary operation.</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3.1 The mediated triad</w:t>
      </w:r>
    </w:p>
    <w:p>
      <w:pPr>
        <w:spacing w:before="120" w:after="120"/>
        <w:jc w:val="left"/>
      </w:pPr>
      <w:r>
        <w:t>Co-optation has a structure, and the structure is triadic. A driver does not sit on one side of a medium, reading it. She is coordinating with a rider she will never meet through a system that reads both their behavior at once and makes determinations about routing, pricing, matching, ranking, and deactivation that neither of them controls. The rider is in the same position from the other side. The system stands between them and pursues objectives of its own, set by a firm that neither of them works for. Two humans coordinate through a third party that interprets their positions and commits to outcomes that bind them (Kellogg et al., 2020; Möhlmann et al., 2023).</w:t>
      </w:r>
    </w:p>
    <w:p>
      <w:pPr>
        <w:spacing w:before="120" w:after="120"/>
        <w:jc w:val="left"/>
      </w:pPr>
      <w:r>
        <w:t>The third party’s objectives need not align with the parties whose coordination it carries out. It optimizes for ends of its own, and those ends can diverge sharply from the interests of the workers, sellers, and users enrolled in it (Zuboff, 2019). The mediator is an interested party whose determinations constitute the coordination, and the coordinated are bound by outcomes they did not make and cannot see. That is the shape the rest of the chapter works with.</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3.2 Why literacy cannot reach it</w:t>
      </w:r>
    </w:p>
    <w:p>
      <w:pPr>
        <w:spacing w:before="120" w:after="120"/>
        <w:jc w:val="left"/>
      </w:pPr>
      <w:r>
        <w:t>Why can the competences that govern data, infrastructure, and code not govern this? The reason is structural, and it comes in four parts.</w:t>
      </w:r>
    </w:p>
    <w:p>
      <w:pPr>
        <w:spacing w:before="120" w:after="120"/>
        <w:jc w:val="left"/>
      </w:pPr>
      <w:r>
        <w:t>First, the object resists reading. High-dimensional algorithmic systems are opaque in ways disclosure does not cure. Burrell (2016) distinguishes three opacities: the intentional kind, the kind that follows from technical illiteracy, and the kind intrinsic to the scale and mathematics of machine learning. The third survives the release of source code. The behavior of a model over millions of parameters and cases is not legible the way a statute is legible. One can read the code and still not know what the system will do.</w:t>
      </w:r>
    </w:p>
    <w:p>
      <w:pPr>
        <w:spacing w:before="120" w:after="120"/>
        <w:jc w:val="left"/>
      </w:pPr>
      <w:r>
        <w:t>Second, reading without a channel to act produces no accountability. Ananny and Crawford (2018) show that the transparency ideal — see inside the system and accountability will follow — fails when no institution can act on what is seen. A disclosure that no party has standing to contest is a fact without a consequence. The literate model of governance assumes that a legible object can be brought before an institution that will hold its operator to account. Platform coordination routinely supplies the legibility, or a simulacrum of it, and withholds the institution.</w:t>
      </w:r>
    </w:p>
    <w:p>
      <w:pPr>
        <w:spacing w:before="120" w:after="120"/>
        <w:jc w:val="left"/>
      </w:pPr>
      <w:r>
        <w:t>Third, the actors who most need to contest the system have no leverage over it. Platform-dependent entrepreneurs operate under power asymmetries that diversification cannot relieve, because in many sectors no alternative platform exists at the required scale (Cutolo &amp; Kenney, 2021). Workers under opaque algorithmic evaluation inhabit what Rahman (2021) calls an invisible cage. They react to a system whose rules they cannot see, adjusting their behavior to a shifting target, and the reaction is itself a form of control. The flexibility such platforms advertise is real, and it operates inside that control. A worker chooses her hours and cannot see what her choices are measured against (Wood et al., 2019). Taming platform power, Rahman et al. (2024) argue, requires treating accountability as a problem in its own right, because the ordinary levers of market exit and legal challenge do not reach the algorithmic layer.</w:t>
      </w:r>
    </w:p>
    <w:p>
      <w:pPr>
        <w:spacing w:before="120" w:after="120"/>
        <w:jc w:val="left"/>
      </w:pPr>
      <w:r>
        <w:t>Fourth, the regulatory architecture is built for text-driven law and confronts code-driven and data-driven coordination. Hildebrandt (2015) distinguishes the mode of law that operates through written rules from that which operates through code and data, and argues that the former cannot straightforwardly govern the latter. The European instruments are magnificent text-driven law. They reach data handling, system classification, gatekeeping conduct, and infrastructure security. They stop short of the layer at which the platform decides, case by case and invisibly, what to surface and what to bury (Cohen, 2017; Pasquale, 2023). Surveys of the sovereignty concept confirm the gap: existing models categorize sovereignty by territory, function, data, or infrastructure, and none address the algorithmic coordination through which platforms enroll and bind (Fratini et al., 2024). Compliance with the GDPR, the AI Act, and the DMA leaves the platform-dependent firm’s strategic position where it found it (Rahman et al., 2024).</w:t>
      </w:r>
    </w:p>
    <w:p>
      <w:pPr>
        <w:spacing w:before="120" w:after="120"/>
        <w:jc w:val="left"/>
      </w:pPr>
      <w:r>
        <w:t>The situation is new in the same sense that writing was new to an oral order. The object lies outside what the literate sensibility can grasp, and no refinement of reading reaches it.</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3.3 The political economy of interested mediation</w:t>
      </w:r>
    </w:p>
    <w:p>
      <w:pPr>
        <w:spacing w:before="120" w:after="120"/>
        <w:jc w:val="left"/>
      </w:pPr>
      <w:r>
        <w:t>Attending to what the mediator captures sharpens the point. In a market the parties transact directly, and the surplus of their exchange is theirs to divide. In the mediated triad, both parties must pass through the third party to produce anything at all, and that structural position, which the economics of two-sided markets (Rochet &amp; Tirole, 2003) calls a competitive bottleneck (Armstrong &amp; Wright, 2007), is a source of rent independent of any service the mediator provides. A mediator through which all coordination must flow captures a share of the value of that coordination simply by standing where it stands. The share follows from the topology of mediation, which is how platform-dependent actors come to be essential to a platform’s value and powerless within it at the same time. They generate the coordination the platform monetizes, and they occupy positions from which the platform extracts the surplus (Cutolo &amp; Kenney, 2021; Zuboff, 2019).</w:t>
      </w:r>
    </w:p>
    <w:p>
      <w:pPr>
        <w:spacing w:before="120" w:after="120"/>
        <w:jc w:val="left"/>
      </w:pPr>
      <w:r>
        <w:t>Self-interest compounds the bottleneck. A faithful mediator, optimizing only for the parties' coordination, would still hold bottleneck power. A mediator optimizing for its own objectives goes further: it reshapes the coordination around those objectives, and the coordinated are enrolled in a logic that need not serve them. An applicant-tracking system tuned to the hirer’s convenience, a dispatcher tuned to the platform’s utilization targets, a feed tuned to engagement over what its users would choose — each authors a coordination whose terms are set by an interest the coordinated parties do not share and cannot see. This is the precise content of co-optation: enrollment into a coordination authored by an interested third party, without the delegated authority of a hierarchy or the negotiated terms of a contract. It is also why transparency alone solves nothing. A transparent bottleneck is still a bottleneck, and a disclosed objective the coordinated actor has no standing to contest is still an objective imposed on it.</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4. Algorithmacy: the sensibility for the platform era</w:t>
      </w:r>
    </w:p>
    <w:p>
      <w:pPr>
        <w:spacing w:before="120" w:after="120"/>
        <w:jc w:val="left"/>
      </w:pPr>
      <w:r>
        <w:t>Governing the mediated triad and contesting the terms it imposes require a competence that differs in kind from digital literacy. The companion work to this chapter names it algorithmacy: the integrated competence through which an actor coordinates with another party through an algorithmic third party that interprets both sides and commits determinations neither side controls (Author, 2026). The competence has three parts. The first is inferential: the capacity to model the behavior of a system one cannot see, forming and revising a working theory of how it sorts and optimizes based on its outputs. The second is translational, the capacity to render one’s own conduct into the terms the system reads, and to read the system’s determinations back into consequences for oneself and one’s counterpart. The third is temporal, the capacity to hold a strategy together across a system whose rules shift without notice.</w:t>
      </w:r>
    </w:p>
    <w:p>
      <w:pPr>
        <w:spacing w:before="120" w:after="120"/>
        <w:jc w:val="left"/>
      </w:pPr>
      <w:r>
        <w:t>A growing literature on algorithmic and critical data literacy names adjacent competences, and algorithmacy should be positioned among them. Algorithmic literacy is theorized as awareness, understanding, and skill in interacting with algorithmic systems (Dogruel et al., 2022), and critical data literacy adds reflexive and tactical dimensions, the capacity to identify how one’s data are used and to act on that knowledge (Pangrazio &amp; Selwyn, 2019; Sander, 2020). These competences mostly describe spectatorship: recognizing that a system is at work, interpreting its outputs, reflecting on its effects. A parallel line in human–computer interaction has documented the practice itself: ordinary users build and revise folk theories of the feeds that curate them, and keep revising as the platforms change (DeVito, 2021; Eslami et al., 2016). Algorithmacy is what algorithmic literacy becomes when your own conduct is one of the variables the system is optimizing, and the system is reading your moves back to you as inputs. Reading a system from the outside and working it from within are different acts.</w:t>
      </w:r>
    </w:p>
    <w:p>
      <w:pPr>
        <w:spacing w:before="120" w:after="120"/>
        <w:jc w:val="left"/>
      </w:pPr>
      <w:r>
        <w:t>The empirical literature on algorithmic management has already observed one component of the competence in the field. Möhlmann et al. (2023) describe platform workers engaged in algorithm sensemaking: building informal, iteratively revised theories of the algorithm that manages them, precisely because formal disclosure does not reach the mechanisms that control their work. Algorithm sensemaking is the inferential part of algorithmacy under another name, and the translational part has a field record too: gig workers shape their conduct in advance to pacify an algorithm they cannot see (Bucher et al., 2021). The full competence adds the temporal part and places all three inside the triad, where the point is to coordinate with a counterpart through the system while the system pursues ends of its own.</w:t>
      </w:r>
    </w:p>
    <w:p>
      <w:pPr>
        <w:spacing w:before="120" w:after="120"/>
        <w:jc w:val="left"/>
      </w:pPr>
      <w:r>
        <w:t>All three parts are visible in the practice of anyone who works a platform well. A seller on a large marketplace who has learned to succeed does more than read the published seller guidelines, which are the literate object. She holds a working theory of what the ranking rewards, inferred from the movement of her own listings and revised each time the pattern breaks, which is the inferential part. She composes her titles, images, prices, and fulfillment choices in the terms she believes the ranking reads, and she reads a drop in placement back into a diagnosis of what changed, which is the translational part. And she does all this across a system that is re-tuned without notice, holding a coherent strategy through changes she learns about only from their effects, which is the temporal part. None of it is reading in the literate sense, and none of it is contained in the platform’s disclosures, because the disclosures do not contain what she needs to know. She is exercising algorithmacy, and her position beside a competitor who lacks it is the position of a literate merchant beside an illiterate one in an economy run on written contracts.</w:t>
      </w:r>
    </w:p>
    <w:p>
      <w:pPr>
        <w:spacing w:before="120" w:after="120"/>
        <w:jc w:val="left"/>
      </w:pPr>
      <w:r>
        <w:t>One morning her orders halve, with no message from the platform and no change she made. She checks the obvious things — price, stock, a lapsed promotion — and they are fine. Watching which listings fell and which held, she infers that the system has begun to weigh delivery speed more heavily, and her older listings, shipped from a slower warehouse, have dropped. She has read nothing. There was nothing to read. She moves the affected listings to the faster fulfillment option, watches placement recover over the next week, and files the episode as another revision to a model she will revise again. A seller without the competence sees only that sales fell, and waits, or blames the market, or abandons a channel that was working. The difference between them is the competence to build a working theory from effects and act on it inside a system that will not explain itself.</w:t>
      </w:r>
    </w:p>
    <w:p>
      <w:pPr>
        <w:spacing w:before="120" w:after="120"/>
        <w:jc w:val="left"/>
      </w:pPr>
      <w:r>
        <w:t>The competence is unevenly held, and the unevenness has a pattern. Building it costs time, attention, and often paid analysts and tooling that read a platform’s signals at a scale a small operator cannot match, so the actors best placed to model the system are the large ones already advantaged within it. The platform, for its part, does more than neglect to make its rules legible. Opacity is a rent-preserving strategy. It raises the cost of effective contestation and protects the discretion over ranking, matching, and pricing from which the platform’s surplus is drawn (Cutolo &amp; Kenney, 2021; Zuboff, 2019). The same incentives set platforms against institutions — contestability, collective voice, researcher access — that would diffuse competence. The scarcity of algorithmacy is therefore partly the mediator’s own product. Coordinative sovereignty, which algorithmacy makes possible, concentrates where algorithmacy is already held, and a competence distributed like capital distributes standing like capital. Who gets to see the systems that coordinate economic life is now a political question about the distribution of a costly competence.</w:t>
      </w:r>
    </w:p>
    <w:p>
      <w:pPr>
        <w:spacing w:before="120" w:after="120"/>
        <w:jc w:val="left"/>
      </w:pPr>
      <w:r>
        <w:t>The claim that a change of communicative medium is a change in kind descends from the orality-literacy scholarship (Goody, 1977; Ong, 1982), and its strong version, that writing restructures the mind, did not survive the ethnographers, who showed literacy’s cognitive effects to be practice-specific and socially embedded (Scribner &amp; Cole, 1981; Street, 1984). The claim advanced here concerns coordination, whatever the truth about individual cognition. Oracy, literacy, and algorithmacy are qualitatively distinct coordination regimes — coordination through presence and memory, through the persistent and comparable document, and through the opaque and adaptive algorithmic mediator — and each enables forms of authority the prior regime structurally cannot instantiate. In that infrastructural sense, the transitions are changes in kind. A citizen with excellent legal and technical literacy who cannot model the system coordinating her stands where a fluent speaker once stood before a written contract in a script she could not read. She can perceive that something binds her, and she cannot work within it. Algorithmacy is to platform coordination what literacy was to written coordination: a change in kind, demanded by a new form of coordination, and, at present, unevenly held.</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5. A diagnostic: necessary and contingent mediators</w:t>
      </w:r>
    </w:p>
    <w:p>
      <w:pPr>
        <w:spacing w:before="120" w:after="120"/>
        <w:jc w:val="left"/>
      </w:pPr>
      <w:r>
        <w:t>The claim that the platform situation is new in kind can be made precise, and the precision pays. It determines what sovereignty is available to the coordinated actor at all. The companion paper develops the formal measures. The test below asks only for the coordination’s rules.</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5.1 When is the coordination genuinely triadic?</w:t>
      </w:r>
    </w:p>
    <w:p>
      <w:pPr>
        <w:spacing w:before="120" w:after="120"/>
        <w:jc w:val="left"/>
      </w:pPr>
      <w:r>
        <w:t>Model a coordination as a small system whose elements — a worker, a mediator, a counterpart — influence one another by fixed rules, and ask whether the system factors. Some coordinations come apart cleanly. Cut them the right way, and nothing is lost, because the three parties never acted as one thing. There the mediator is a conduit. It relays between two parties who remain separable, and an actor governs the arrangement by reading the interface and the terms, that is, by literacy. Other coordinations survive no cut, because the mediator binds the two humans into a joint determination that no division into parts reproduces. There the mediator is constitutive. It commits an outcome that depends on both parties at once and that neither could produce alone, and an actor governs such an arrangement, if at all, by algorithmacy.</w:t>
      </w:r>
    </w:p>
    <w:p>
      <w:pPr>
        <w:spacing w:before="120" w:after="120"/>
        <w:jc w:val="left"/>
      </w:pPr>
      <w:r>
        <w:t>Whether a coordination factor is a question about its rules: does some cut of the modeled system lose causal information that exists only in the joint behavior of its parts? The companion paper develops the integrated-information measures that make the check exact and grade borderline cases, where the answer is close, or the parties are many (Author, 2026). For the argument here, the runnable counterfactual of the next section is enough.</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5.2 The bypass test: necessary versus contingent mediators</w:t>
      </w:r>
    </w:p>
    <w:p>
      <w:pPr>
        <w:spacing w:before="120" w:after="120"/>
        <w:jc w:val="left"/>
      </w:pPr>
      <w:r>
        <w:t>Triadic coordination comes in two kinds that look identical from the outside and differ decisively in what they permit. Brokerage research reached the difference informally: a broker’s returns depend on whether the brokered parties can credibly threaten to close the gap themselves (Hahl et al., 2016). A single counterfactual turns that observation into a computable property of the coordination’s rules. Use a mediator to bind two parties. Restore the direct tie between them, the tie that strict mediation forbids, and recompute whether the mediator still binds.</w:t>
      </w:r>
    </w:p>
    <w:p>
      <w:pPr>
        <w:spacing w:before="120" w:after="120"/>
        <w:jc w:val="left"/>
      </w:pPr>
      <w:r>
        <w:t>Some mediators keep their grip. Such a mediator is necessary: its position rests on integrating work that the direct tie cannot reproduce. A clearinghouse that guarantees both sides of a trade, an exchange that matches many orders into one price, an interpreter between parties who share no language — each does something two parties dealing directly could not do for themselves, and handing them a direct line dislodges nothing.</w:t>
      </w:r>
    </w:p>
    <w:p>
      <w:pPr>
        <w:spacing w:before="120" w:after="120"/>
        <w:jc w:val="left"/>
      </w:pPr>
      <w:r>
        <w:t>Other mediators lose their grip the moment the tie is open. Such a mediator is contingent: its position rested on the absence of the direct tie, an absence usually held in place by an external constraint. A franchised car dealer relays a vehicle from manufacturer to buyer and integrates nothing. It occupies the coordination because franchise law forbids the manufacturer from selling directly, and repealing the law dissolves the dealer’s position. The contingent mediator is held in place by a rule, and part of algorithmacy is knowing whether the third party is there because of what it does or because of what is forbidden.</w:t>
      </w:r>
    </w:p>
    <w:p>
      <w:pPr>
        <w:spacing w:before="120" w:after="120"/>
        <w:jc w:val="left"/>
      </w:pPr>
      <w:r>
        <w:t>Two further cases complete the picture. A mediator who was never part of the coordination’s core is dispensable: the parties can already deal directly, and nothing binds the mediator. A mediator that maintains a constitutive role under the open tie while losing part of its integration is partial: it performs real integrating work alongside a bypassable gate. The same counterfactual thus sorts every mediator into one of four kinds: necessary, contingent, partial, or reducible (Author, 2026).</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5.3 Exit and voice: what the diagnostic decides</w:t>
      </w:r>
    </w:p>
    <w:p>
      <w:pPr>
        <w:spacing w:before="120" w:after="120"/>
        <w:jc w:val="left"/>
      </w:pPr>
      <w:r>
        <w:t>The diagnostic decides which sovereignty is available, and here the argument turns on a distinction Hirschman (1970) drew for organizations in decline. A member of a failing organization has two powers: exit, the power to leave, and voice, the power to stay and press for change. The framework has been applied to platforms before, to the constrained voice of platform workers (Dasgupta et al., 2025) and to the politics of exit from digital infrastructures (Smith &amp; Burrows, 2021), and Hirschman himself observed that monopoly restricts exit and so elevates voice. Formalizing his categories is what yields the payoff. Exit maps onto bypassability, voice onto necessity, and the necessary/contingent test tells which obtains. Whether a coordinated actor can leave becomes a designable fact. It is determined by whether the mediator is contingent, which is a policy and strategy variable. The old sovereignty of independence — Bodin’s indivisible authority, Mill’s private sphere — is a sovereignty of exit. Its power is the power to stand apart, to deal directly, to be unmediated.</w:t>
      </w:r>
    </w:p>
    <w:p>
      <w:pPr>
        <w:spacing w:before="120" w:after="120"/>
        <w:jc w:val="left"/>
      </w:pPr>
      <w:r>
        <w:t>For a contingent mediator, exit is available in principle. The mediator is held by a liftable constraint, so lifting the constraint restores the direct tie and returns the parties to unmediated dealing. Deregulation, mandated interoperability, an antitrust remedy, the breaking of an exclusive — each is an exit move, and each is the right move where the mediator is contingent. Digital-sovereignty instruments that force open a gate belong here. Platform economics reads the same fact through multihoming: where an actor can hold more than one platform at once, the bottleneck is contestable, and exclusivity is what forecloses it (Eisenmann et al., 2006).</w:t>
      </w:r>
    </w:p>
    <w:p>
      <w:pPr>
        <w:spacing w:before="120" w:after="120"/>
        <w:jc w:val="left"/>
      </w:pPr>
      <w:r>
        <w:t>For a necessary mediator, the bypass takes nothing, because the mediator’s position never rested on the tie’s absence. To demand independence from a necessary mediator is to demand the dissolution of the coordination itself, a withdrawal from the field in which autonomy would be exercised. Where the mediator is necessary, only voice remains. What voice amounts to under an unleaveable coordination is exactly what the literate and digital forms of sovereignty leave untheorized, and it is what section 6 supplies.</w:t>
      </w:r>
    </w:p>
    <w:p>
      <w:pPr>
        <w:pStyle w:val="Heading3"/>
        <w:keepNext w:val="0"/>
        <w:keepLines w:val="0"/>
        <w:spacing w:before="281" w:after="140"/>
        <w:jc w:val="left"/>
        <w:rPr>
          <w:b/>
          <w:bCs/>
          <w:sz w:val="28"/>
          <w:szCs w:val="28"/>
        </w:rPr>
      </w:pPr>
      <w:r>
        <w:rPr>
          <w:rFonts w:ascii="Times New Roman" w:eastAsia="Times New Roman" w:hAnsi="Times New Roman" w:cs="Times New Roman"/>
          <w:b w:val="0"/>
          <w:bCs w:val="0"/>
          <w:i w:val="0"/>
          <w:color w:val="auto"/>
        </w:rPr>
        <w:t>5.4 A platform is a portfolio of mediators</w:t>
      </w:r>
    </w:p>
    <w:p>
      <w:pPr>
        <w:spacing w:before="120" w:after="120"/>
        <w:jc w:val="left"/>
      </w:pPr>
      <w:r>
        <w:t>A real platform is several mediators wearing one name, and the diagnostic classifies functions, not firms. The same company can be necessary in one of its functions and contingent in another, and the coordinated actor’s strategy differs by function. A payment network authorizes transactions, a determination that depends jointly on the merchant’s request and the issuer’s approval, and neither could produce alone, which necessitates integration. The same network operates a gate whose force is provided by the rails on both sides, which are interdependent. A large marketplace fulfills orders through logistics that no direct seller-to-buyer tie reproduces at scale, which is necessary. It matches demand to supply, real integrating work that buyers can bypass for goods they already know, which is partial. It gates which sellers a buyer sees, a toll sellers pay to pass, contingent on. And it resells goods it buys, a plain conduit that a brand able to reach customers directly can route around, which is reducible. One firm, four kinds of mediator at once.</w:t>
      </w:r>
    </w:p>
    <w:p>
      <w:pPr>
        <w:spacing w:before="120" w:after="120"/>
        <w:jc w:val="left"/>
      </w:pPr>
      <w:r>
        <w:t>The portfolio view does organizational work. A coordinated actor’s dependence is not monolithic, and different functions of the same platform admit different responses. Against the marketplace’s contingent gate — the placement toll — the actor’s move is toward exit: interoperability, portability, an alternative channel. Against the marketplace’s necessary fulfillment, exit is a mirage, and the move is toward voice. Managers who read their platform dependence as a single risk to be diversified miss this. The diagnostic disaggregates the dependence into parts that can be exited and those that can only be governed (Author, 2026).</w:t>
      </w:r>
    </w:p>
    <w:p>
      <w:pPr>
        <w:spacing w:before="120" w:after="120"/>
        <w:jc w:val="left"/>
      </w:pPr>
      <w:r>
        <w:t>Consider two platform cases. An application store does at least two things for a developer. It distributes and reviews software, plausibly necessary integrating work that a direct developer-to-user tie does not reproduce at scale. And it gates in-app payment, a toll held in place by the device platform’s control of its users. The payment gate is contingent, and the exit move against it is interoperability and sideloading. The distribution service is closer to necessary, and there the developer’s real power is voice. A ride-hail platform likewise matches riders and drivers in real time, integrating work, and stands between a rider and a driver, bypassing a relationship gate.</w:t>
      </w:r>
    </w:p>
    <w:p>
      <w:pPr>
        <w:spacing w:before="120" w:after="120"/>
        <w:jc w:val="left"/>
      </w:pPr>
      <w:r>
        <w:t>The travel sector shows the test under real bypass pressure. An independent hotel reaches many of its guests through an online travel agency that charges fifteen to thirty percent commission, and the agency does two very different things for that fee. It aggregates demand, putting the hotel in front of travelers who would never have found it — the effect the trade calls the billboard — an effect that integrating work a single hotel’s website cannot reproduce. And it includes a rate-parity clause that forbids the hotel from pricing lower on its own site, a gate held by a contract. Hotels have pushed hard on the contingent gate. Book-direct campaigns, loyalty perks, and metasearch, together with the rate-parity bans enacted in several European jurisdictions, are all moves to open it, and they have recovered margin on guests hotels would have won anyway. The demand aggregation has not budged. Direct-booking shares climb to roughly a third and then plateau, because the traveler who did not know the hotel existed is reached through the agency or not at all. Exit is the right move against the parity gate, and a mirage against the billboard, and a hotel that spends its whole effort trying to leave the agency has mistaken the necessary function for the contingent one.</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6. Coordinative sovereignty: a definition</w:t>
      </w:r>
    </w:p>
    <w:p>
      <w:pPr>
        <w:spacing w:before="120" w:after="120"/>
        <w:jc w:val="left"/>
      </w:pPr>
      <w:r>
        <w:t>Where the mediator is necessary, and only voice remains, autonomy has to be reconceived. The received idea of sovereignty as independence has nothing to offer an actor who cannot leave, and the digital extension of that idea, which reclaims control over infrastructure, does nothing for the actor who must still coordinate through whatever infrastructure prevails. This chapter names the reconceived form coordinative sovereignty and defines it as follows.</w:t>
      </w:r>
    </w:p>
    <w:p>
      <w:pPr>
        <w:spacing w:before="120" w:after="120"/>
        <w:jc w:val="left"/>
      </w:pPr>
      <w:r>
        <w:t>Coordinative sovereignty is the autonomy proper to being irreducibly coordinated: the power to shape the terms on which one is mediated, to contest the mediator’s arbitrary power, and to hold a share in the governance of the arrangement one cannot leave. Its currency is effective voice — terms that hold because the coordinated actors have the standing to enforce them. The two sovereignties the platform situation puts out of reach, independence from the mediator and command of the infrastructure, form no part of it.</w:t>
      </w:r>
    </w:p>
    <w:p>
      <w:pPr>
        <w:spacing w:before="120" w:after="120"/>
        <w:jc w:val="left"/>
      </w:pPr>
      <w:r>
        <w:t>Four strands of political theory converge on the construct, and the platform situation makes each newly concrete.</w:t>
      </w:r>
    </w:p>
    <w:p>
      <w:pPr>
        <w:spacing w:before="120" w:after="120"/>
        <w:jc w:val="left"/>
      </w:pPr>
      <w:r>
        <w:t>From republican theory it takes freedom as non-domination, the absence of another’s arbitrary power, a stronger condition than the absence of interference (Pettit, 1997; Skinner, 1998). An actor can be left alone and still unfree if it lives at the mercy of a power that could interfere at will, on terms it cannot contest. That is the exact condition of the platform-dependent actor, and republican theory has begun to say so: algorithmic management, Muldoon and Raekstad (2022) argue, is a relationship of domination, a socio-technical system in which owners and managers hold arbitrary power over those enrolled in it. So the first requirement of coordinative sovereignty is that the mediator’s power over the actor be constrained by rules the actor can know and contest.</w:t>
      </w:r>
    </w:p>
    <w:p>
      <w:pPr>
        <w:spacing w:before="120" w:after="120"/>
        <w:jc w:val="left"/>
      </w:pPr>
      <w:r>
        <w:t>From a relational autonomy perspective, autonomy is constituted by the relationships that structure a person (Mackenzie &amp; Stoljar, 2000; Nedelsky, 2011). A relationship can enlarge autonomy or shrink it, and what matters is its shape. Applied to mediation, this dissolves the apparent choice between being mediated and being autonomous. A well-shaped mediation enlarges the coordinated actor’s autonomy, a badly-shaped one diminishes it, and the object of sovereignty is the shape.</w:t>
      </w:r>
    </w:p>
    <w:p>
      <w:pPr>
        <w:spacing w:before="120" w:after="120"/>
        <w:jc w:val="left"/>
      </w:pPr>
      <w:r>
        <w:t>According to Markell (2008), it requires a correction to non-domination, which protects without including. An actor secured against arbitrary power still holds no share in the determinations that govern it. Coordinative sovereignty asks for that share: a place in the determination, standing to participate in how the coordination is governed. The voice it names is involvement, and insulation alone will not supply it.</w:t>
      </w:r>
    </w:p>
    <w:p>
      <w:pPr>
        <w:spacing w:before="120" w:after="120"/>
        <w:jc w:val="left"/>
      </w:pPr>
      <w:r>
        <w:t>And, according to Ostrom (1990), it requires commons governance: actors interdependent on a shared resource can govern it themselves through institutions of their own design, without privatizing the resource or handing it to a central authority. Her design principles — collective-choice arrangements, graduated sanctions, accessible conflict resolution, recognized rights to organize — are institutional forms of effective voice under interdependence. Coordinative sovereignty carries the commons model from the shared pasture to the shared platform and asks whether the coordinated can hold a share in its governance.</w:t>
      </w:r>
    </w:p>
    <w:p>
      <w:pPr>
        <w:spacing w:before="120" w:after="120"/>
        <w:jc w:val="left"/>
      </w:pPr>
      <w:r>
        <w:t>The construct needs to be distinguished from its neighbors because the neighborhood is crowded and suspicious of newcomers. The digital-sovereignty literature has been charged with concept stretching: the term applied to so many actors, from states to firms to communities to individuals, that it loses precision (Repetto, 2025). The charge deserves an answer. Digital sovereignty, in its various forms, is a move to centralize control. A state, a community, or a firm reclaims authority over a digital domain, and the question “who owns the infrastructure” gets answered with a wall, a standard, or a domestic alternative (Couture &amp; Toupin, 2019; Floridi, 2020; Pohle &amp; Thiel, 2020; Roberts et al., 2021). Coordinative sovereignty is actor-centric and mediation-native. It seeks standing within the platform while owning none of it and escaping none of it. The nearer neighbors mark the space without occupying it.</w:t>
      </w:r>
    </w:p>
    <w:p>
      <w:pPr>
        <w:spacing w:before="120" w:after="120"/>
        <w:jc w:val="left"/>
      </w:pPr>
      <w:r>
        <w:t>Bannerman’s (2024) relational sovereignty reads platform power through a relational and historical lens and works toward rebalancing the structural asymmetry. The republican analysis of algorithmic domination (Muldoon &amp; Raekstad, 2022) centers protection from arbitrary power and often recommends exit through cooperative ownership. Functional sovereignty (Pasquale, 2023) and the platform sovereign (Cohen, 2017) theorize the authority the platform exercises over the coordinated. Coordinative sovereignty looks at the same relationship from the other end. It asks what standing the coordinated can hold inside a mediation they cannot leave, and it comes paired with a diagnostic that says when such standing is the only autonomy available. That is the object the crowded neighborhood describes around and leaves unoccupied.</w:t>
      </w:r>
    </w:p>
    <w:p>
      <w:pPr>
        <w:spacing w:before="120" w:after="120"/>
        <w:jc w:val="left"/>
      </w:pPr>
      <w:r>
        <w:t>Three clarifications guard the definition against familiar misreadings. First, coordinative sovereignty is more than worker rights or consumer protection, though it bears on both. Rights and protections are guarantees against a mediator’s conduct. Coordinative sovereignty is a share in the mediator’s governance, and a platform can grant its workers extensive protections while they hold no standing over how the coordination is authored. The protected but unstanding actor is exactly the figure the construct is built to name. Second, transparency does not produce it. Legibility without standing yields a disclosure no one can act on (Ananny &amp; Crawford, 2018), and coordinative sovereignty is the standing that would make the disclosure matter. It comes before any given act of disclosure. Third, the construct is anything but anti-platform. It does not seek to abolish mediation or to restore an imagined unmediated state. It takes the mediation as given, often as necessary, and asks what autonomy is possible within it. In this sense, the construct is realist about the platform condition. The mediator cannot be wished away, and freedom lives in the terms of the mediation.</w:t>
      </w:r>
    </w:p>
    <w:p>
      <w:pPr>
        <w:spacing w:before="120" w:after="120"/>
        <w:jc w:val="left"/>
      </w:pPr>
      <w:r>
        <w:t>The construct also says what is at stake in calling algorithmacy a sensibility. Oracy made a member of an oral order capable of holding it to account. Literacy made a citizen capable of auditing a literate state. Algorithmacy makes a coordinated actor capable of the standing that coordinative sovereignty defines. An actor cannot contest a mediator’s arbitrary power without modeling how the mediator sorts and optimizes, cannot press for terms without translating between its conduct and the system’s, cannot hold a share in governance across a shifting system without temporal coherence. The sensibility is the precondition of sovereignty, and sovereignty is the political form of competence. The precondition governs exercise, not endowment. An institution can grant standing before the competence is widely held: the platform-work directive already gives workers collective rights whether or not they can yet model the systems that manage them. Algorithmacy decides whether those rights become real leverage or remain formal, which is why competence and institutions must be built together.</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7. Realizing coordinative sovereignty</w:t>
      </w:r>
    </w:p>
    <w:p>
      <w:pPr>
        <w:spacing w:before="120" w:after="120"/>
        <w:jc w:val="left"/>
      </w:pPr>
      <w:r>
        <w:t>A definition is not yet an institution. Coordinative sovereignty specifies the standing a coordinated actor requires, and building that standing is another matter. This section surveys the institutional forms through which effective voice under necessary mediation could be built, keeping the section 5 diagnostic in hand. The diagnostic tells an actor whether to seek exit or to build voice, and it sorts the institutions accordingly.</w:t>
      </w:r>
    </w:p>
    <w:p>
      <w:pPr>
        <w:spacing w:before="120" w:after="120"/>
        <w:jc w:val="left"/>
      </w:pPr>
      <w:r>
        <w:t>Platform cooperativism proposes the most direct route: change who owns the platform. Worker- and user-owned, democratically governed cooperative platforms would give coordinated actors a share in the governance of mediation by making them its owners (Scholz, 2016). Where a cooperative can be built at the required scale, the enrolled subject becomes a member with a vote, and voice becomes ownership. The limit is scale and capital. The network effects and investment that entrench incumbent platforms are exactly what a cooperative alternative struggles to match, and in sectors where a single platform is effectively necessary, the route may be foreclosed for want of a viable competitor.</w:t>
      </w:r>
    </w:p>
    <w:p>
      <w:pPr>
        <w:spacing w:before="120" w:after="120"/>
        <w:jc w:val="left"/>
      </w:pPr>
      <w:r>
        <w:t>Data trusts and data cooperatives pursue standing by collectively controlling the data on which the mediation runs (Micheli et al., 2020). A bottom-up data trust pools the data rights of many individuals under a fiduciary bound to act in their interest, giving a collective the bargaining power that no individual data subject possesses (Delacroix &amp; Lawrence, 2019). The trust leaves the mediator in place and changes the terms on which the mediator obtains the input it depends on. It is a mechanism of voice: the coordinated actors, acting together, hold a lever over the arrangement.</w:t>
      </w:r>
    </w:p>
    <w:p>
      <w:pPr>
        <w:spacing w:before="120" w:after="120"/>
        <w:jc w:val="left"/>
      </w:pPr>
      <w:r>
        <w:t>Collective bargaining and works-council arrangements adapt an older institution of voice to the platform. Where platform workers or platform-dependent firms can organize, they can negotiate over the terms of the mediation — how assignments are made, how deactivation is decided, how ranking is governed — and can establish a standing channel through which disclosure becomes accountability. This answers the failure Ananny and Crawford (2018) identify. Transparency without an institution to act on it yields nothing, and a bargaining unit is such an institution. Whether one can form is itself a fact about the mediation: the architecture of a platform shapes where grievances pool and whether contention can organize at all (Lei, 2021).</w:t>
      </w:r>
    </w:p>
    <w:p>
      <w:pPr>
        <w:spacing w:before="120" w:after="120"/>
        <w:jc w:val="left"/>
      </w:pPr>
      <w:r>
        <w:t>Contestability builds voice into the algorithmic system itself. Where explainability provides reasons for a determination, contestability provides a channel to challenge it: a contestable system is open and responsive to dispute throughout its lifecycle, with mechanisms that let affected parties review, correct, or override a decision (Alfrink et al., 2023). Algorithmic auditing supports contestation by producing the evidence on which a challenge can rest. Contestability is voice at the case level. It gives the coordinated actor standing to dispute the particular determination, and case-level contestation stops short of a share in how the system is governed in general.</w:t>
      </w:r>
    </w:p>
    <w:p>
      <w:pPr>
        <w:spacing w:before="120" w:after="120"/>
        <w:jc w:val="left"/>
      </w:pPr>
      <w:r>
        <w:t>Interoperability and data portability are, in the diagnostic’s terms, exit moves, and they belong in the survey for that reason. Where a mediator’s position is contingent, held by lock-in, mandated interoperability and portability lower the cost of the direct tie and restore a measure of the old sovereignty of independence. They are the right instruments where the gate is contingent and misapplied where the mediator is necessary, because there the tie they restore does no work. The diagnostic thus does real institutional labor. It sorts the contingent functions, against which exit-restoring instruments bite, from the necessary functions, against which only the voice-building institutions — cooperatives, trusts, bargaining, contestability — can help.</w:t>
      </w:r>
    </w:p>
    <w:p>
      <w:pPr>
        <w:spacing w:before="120" w:after="120"/>
        <w:jc w:val="left"/>
      </w:pPr>
      <w:r>
        <w:t>Oversight boards and independent adjudication institutionalize voice at the platform’s rule-making level, creating a body with some authority to review the platform’s determinations (Klonick, 2018). Their promise is a standing institution through which the coordinated can be heard. Their limit is dependence on the platform that constitutes them, which bounds the authority they can exercise.</w:t>
      </w:r>
    </w:p>
    <w:p>
      <w:pPr>
        <w:spacing w:before="120" w:after="120"/>
        <w:jc w:val="left"/>
      </w:pPr>
      <w:r>
        <w:t>Regulation itself can build voice, and some of the European architecture already gestures in this direction. The Digital Services Act’s provisions for vetted-researcher access to platform data and its systemic-risk assessments begin to create channels through which the platform’s coordination can be examined by parties with some standing to act, and the platform-work directive, now in transposition across European jurisdictions, begins to attach collective rights to the algorithmically managed. These are partial steps, and they are instructive in their partiality. A provision that creates standing — a right to organize, a right to contest, a channel that turns a disclosure into a consequence — builds coordinative sovereignty, while one that stops at legibility extends digital sovereignty and leaves the coordination layer untouched.</w:t>
      </w:r>
    </w:p>
    <w:p>
      <w:pPr>
        <w:spacing w:before="120" w:after="120"/>
        <w:jc w:val="left"/>
      </w:pPr>
      <w:r>
        <w:t>Across all of these forms, the common measure is the one the definition supplies: how much effective voice does the institution confer on the coordinated actor, and does that voice amount to a genuine share in the governance of the arrangement, or only a protection against its worst conduct? The institutions compose. A data trust can supply the collective leverage that makes a bargaining unit’s demands credible, and the data it pools can feed the audits that provide the evidence for contestation. An interoperability mandate, correctly aimed at the contingent functions, relieves the pressure on the necessary ones by giving the actor somewhere else to go for what can be gotten elsewhere. No single instrument is likely to deliver coordinative sovereignty. It is the cumulative standing that a stack of such institutions confers, and the diagnostic is what keeps the stack aimed: exit-restoring instruments at the contingent functions, voice-building institutions at the necessary ones.</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8. Implications</w:t>
      </w:r>
    </w:p>
    <w:p>
      <w:pPr>
        <w:spacing w:before="120" w:after="120"/>
        <w:jc w:val="left"/>
      </w:pPr>
      <w:r>
        <w:t>For scholars, the argument disaggregates a construct that current research treats as a single construct. Organizational digital sovereignty is typically operationalized as a single capability built from regulatory and infrastructural components (Fratini et al., 2024; Hummel et al., 2021; Schmuntzsch et al., 2025). The typology developed here separates two phenomena that vary independently across firms. Digital sovereignty is a literacy construct. It measures an organization’s capacity to read and control its data, infrastructure, and code. Coordinative sovereignty is an algorithmacy construct. It measures an organization’s standing within the algorithmic coordination on which it depends. A firm can be high on the first and low on the second, impeccably compliant and strategically captured, and the two predict different outcomes.</w:t>
      </w:r>
    </w:p>
    <w:p>
      <w:pPr>
        <w:spacing w:before="120" w:after="120"/>
        <w:jc w:val="left"/>
      </w:pPr>
      <w:r>
        <w:t>The independent variation shows in concrete cases. An application developer or an online marketplace seller can own its code and data, hold data portability rights, comply fully with the GDPR and the Digital Markets Act, and still have no leverage over the ranking and review algorithms that determine its visibility (Cutolo &amp; Kenney, 2021). The market-conduct remedies of 2025 included platforms’ anti-steering rules and mandated ranking transparency, which let a firm see its ranking without contesting it. That is high digital sovereignty beside low coordinative sovereignty. The reverse pairing is equally real. A platform worker owns none of the infrastructure that coordinates the work, yet the European platform-work directive now holds information rights over the automated systems, a right to human review of consequential automated decisions, limits on the data the platform may process, and a mandated channel for collective bargaining (European Parliament &amp; Council of the European Union, 2024). Standing over the coordination rose while control of the infrastructure stayed at zero.</w:t>
      </w:r>
    </w:p>
    <w:p>
      <w:pPr>
        <w:spacing w:before="120" w:after="120"/>
        <w:jc w:val="left"/>
      </w:pPr>
      <w:r>
        <w:t>Because the two sovereignties move apart in this way, they call for separate measurement, and here the typology reaches the boundary of what a conceptual chapter settles. Algorithmacy has been identified as a competence but lacks a validated instrument, and coordinative sovereignty is introduced here for the first time. Until both can be measured, the typology’s central empirical claim, that the two vary independently and predict different outcomes, can be argued but not tested. Building the instruments is the precondition of the research program the typology opens, and the paths to it are set out in the future-directions section below. Disaggregating a construct the field has measured as one is itself a contribution to the operationalization of digital sovereignty this volume calls for.</w:t>
      </w:r>
    </w:p>
    <w:p>
      <w:pPr>
        <w:spacing w:before="120" w:after="120"/>
        <w:jc w:val="left"/>
      </w:pPr>
      <w:r>
        <w:t>For managers, the argument identifies a strategic exposure that compliance investment does not address, and it falls hardest on the small and medium-sized enterprises that depend on platforms they have no scale to influence: the independent software vendor, the marketplace seller, the gig operator. A firm that invests in regulatory compliance secures a digital position and acquires no ability to predict or contest the algorithmic determinations that set its market outcomes. The exposure is an algorithmic gap, and the diagnostic provides managers with a decision procedure for it. Where the firm depends on a contingent mediator, the move is toward exit: support interoperability, build or back an alternative, break the lock-in. Where it depends on a necessary mediator, exit is closed, and the move is toward voice: organize with other dependent firms, pool data, demand contestable systems, seek a standing channel of governance. Treating a necessary mediator as contingent wastes effort on an exit that cannot be had. Treating a contingent one as necessary concedes a bypass that could be opened. Knowing which is which is the first return on algorithmacy.</w:t>
      </w:r>
    </w:p>
    <w:p>
      <w:pPr>
        <w:spacing w:before="120" w:after="120"/>
        <w:jc w:val="left"/>
      </w:pPr>
      <w:r>
        <w:t>The managerial payoff extends to capability building. If coordinative sovereignty is enabled by algorithmacy, and algorithmacy can be built, then a firm’s standing within its platform dependencies is a capability problem. The inferential capacity to model the systems that coordinate it, the translational capacity to render its conduct into the terms those systems read, the temporal capacity to hold a course as the systems change — each can be trained, budgeted, and audited the way compliance now is. The firms that build the competence will hold a sovereignty their competitors lack, and none of it will show up on a compliance audit.</w:t>
      </w:r>
    </w:p>
    <w:p>
      <w:pPr>
        <w:spacing w:before="120" w:after="120"/>
        <w:jc w:val="left"/>
      </w:pPr>
      <w:r>
        <w:t>For policymakers, the argument specifies which instruments must be used to reach the layer where the harm resides. The European architecture governs data, infrastructure, and code with unmatched thoroughness, and it inherits the literate model’s assumption that a legible object brought before an institution will be held to account. Platform coordination breaks that assumption by supplying legibility without standing. Instruments that would govern the coordination layer must therefore build standing directly: contestation rights, collective-organization rights, and governance channels that turn disclosure into accountability, created for the coordinated actor. Interoperability mandates, correctly targeted at contingent gates, restore exit where exit is possible. Contestability and collective-voice mandates build the sovereignty that necessary mediation requires. Successor instruments to the AI Act and the DMA that continue to treat regulatory capability and algorithm navigation as parts of one problem will continue to miss the layer at which co-optation operates (Hildebrandt, 2015).</w:t>
      </w:r>
    </w:p>
    <w:p>
      <w:pPr>
        <w:spacing w:before="120" w:after="120"/>
        <w:jc w:val="left"/>
      </w:pPr>
      <w:r>
        <w:t>The typology also reframes the standoff between openness and control that runs through the digital-sovereignty debate. That debate is usually staged as a choice: openness invites dependence on foreign platforms, while control invites fragmentation and lost efficiency. The framing here cuts across the choice. For the coordinated actor, the relevant question is whether it has standing within the system, and standing is compatible with either openness or control. A closed, sovereign national platform in which users have no voice reproduces the co-optation it was meant to escape, now under a domestic flag. State-integrated national platforms illustrate the point. Where a domestic platform is woven into public administration and content control, the state secures strong digital sovereignty over the infrastructure, while users coordinated through it hold no standing within it at all. An open, cooperatively or federally governed platform can run the other way: a member-governed mobility cooperative deciding its terms by assembly, or a federated social network whose users hold both exit to another instance and a voice in local governance. Either delivers more coordinative sovereignty than a walled alternative its users cannot govern, and owes none of it to state control (Couture &amp; Toupin, 2019). Openness and control are properties of the infrastructure. Coordinative sovereignty is a property of the coordinated actor’s relation to it, and the two do not track each other. A policy that maximizes national control while leaving its citizens co-opted has secured digital sovereignty and forfeited the coordinative kind. Keeping the two apart lets a policymaker ask the question that matters: who owns the platform, and what standing will the people coordinated through it hold?</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9. Future research directions</w:t>
      </w:r>
    </w:p>
    <w:p>
      <w:pPr>
        <w:spacing w:before="120" w:after="120"/>
        <w:jc w:val="left"/>
      </w:pPr>
      <w:r>
        <w:t>The typology’s contribution is conceptual, and the empirical program it opens begins with measurement. Four directions follow, in rough order of dependence, and the first two are the precondition for the rest.</w:t>
      </w:r>
    </w:p>
    <w:p>
      <w:pPr>
        <w:spacing w:before="120" w:after="120"/>
        <w:jc w:val="left"/>
      </w:pPr>
      <w:r>
        <w:t>The first is a validated instrument for algorithmacy. The construct’s three dimensions — inferential, translational, and temporal — point to a multidimensional scale, and the central difficulty is the lack of discriminant validity. Algorithmic-literacy instruments already measure awareness that algorithms operate and knowledge of how they work in principle (Dogruel et al., 2022). An algorithmacy scale would have to establish that it captures what those do not: the competence to act within an opaque system and to hold a strategy through its undisclosed changes, as against recognizing and understanding the system from outside. Because self-reported competence invites over-confidence, such an instrument should be anchored to a behavioral criterion, for example the accuracy of an actor’s predictions of how a system will treat a set of moves, scored against the system’s behavior. Algorithm sensemaking (Möhlmann et al., 2023) offers a validated point of departure for the inferential dimension.</w:t>
      </w:r>
    </w:p>
    <w:p>
      <w:pPr>
        <w:spacing w:before="120" w:after="120"/>
        <w:jc w:val="left"/>
      </w:pPr>
      <w:r>
        <w:t>The second is a validated instrument for coordinative sovereignty. Its standing dimensions — freedom from the mediator’s arbitrary power, effective voice over the terms of mediation, and a share in the coordination’s governance — would have to be measured under the condition that defines the construct: a mediator the actor cannot readily leave. The nearest validated construct is psychological empowerment (Spreitzer, 1995), and the task would be to show that coordinative sovereignty is distinct from it: standing within an unexitable external mediation differs from felt empowerment inside an organization one could leave. The instrument would also have to discriminate between coordinative sovereignty and digital-sovereignty measures, yet the typology predicts only a weak correlation once instruments are available to test it. That last discrimination is the empirical form of the chapter’s central claim, and it is where the two-construct thesis stands or falls.</w:t>
      </w:r>
    </w:p>
    <w:p>
      <w:pPr>
        <w:spacing w:before="120" w:after="120"/>
        <w:jc w:val="left"/>
      </w:pPr>
      <w:r>
        <w:t>The third is the two-step research design the diagnostic affords. Because the necessary/contingent distinction can be applied to a modeled coordination, an empirical study could classify the mediators an organization depends on before measuring the organization’s response, and then ask whether the response fits the mediator type: exit-seeking against contingent gates, voice-building against necessary ones. A firm’s coordinative sovereignty would then be not only how much standing it holds but whether it holds the right kind given the mediators it faces, and misallocation would become a measurable predictor of poor outcomes. This design is open to the construct in a way it is not open to a monolithic digital-sovereignty measure.</w:t>
      </w:r>
    </w:p>
    <w:p>
      <w:pPr>
        <w:spacing w:before="120" w:after="120"/>
        <w:jc w:val="left"/>
      </w:pPr>
      <w:r>
        <w:t>The fourth is the correspondence between reported and afforded standing. Coordinative sovereignty can be operationalized in two ways: as a survey of the standing an actor reports, and as a structural property of a formal model of the actor’s coordination, developed in the companion work (Author, 2026). Whether the two agree, whether actors who report high coordinative sovereignty are those a model would place as pivotal and secure in their coordination, is a construct-validity test a self-report alone cannot supply, and it is available to this construct because the coordination it names has a formal model.</w:t>
      </w:r>
    </w:p>
    <w:p>
      <w:pPr>
        <w:spacing w:before="120" w:after="120"/>
        <w:jc w:val="left"/>
      </w:pPr>
      <w:r>
        <w:t>Beyond measurement, the chapter’s framing question is itself a research program. Whether algorithmacy can be democratized as literacy was is an empirical matter: how the competence is distributed across platform-dependent populations, and whether that distribution widens or narrows as platforms and the instruments to govern them evolve.</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10. Conclusion</w:t>
      </w:r>
    </w:p>
    <w:p>
      <w:pPr>
        <w:spacing w:before="120" w:after="120"/>
        <w:jc w:val="left"/>
      </w:pPr>
      <w:r>
        <w:t>Sovereignty has always been the standing to hold power to account through the medium in which power was exercised, and the standing has always required a sensibility equal to the medium. Oracy held the oral order to account. Literacy held the literate state to account, and the digital extension of literacy governs data, infrastructure, and code. Platform coordination introduces a medium the prior sensibilities cannot govern, because it does not present authority as a text to be read. It enrolls the coordinated actor into a system that interprets it and commits its outcomes. The sensibility equal to that medium is algorithmacy, and the standing it makes possible is coordinative sovereignty: effective voice within a coordination one cannot leave, in a setting where independence from the mediator is unavailable, and control of the infrastructure does not reach the coordinated actor.</w:t>
      </w:r>
    </w:p>
    <w:p>
      <w:pPr>
        <w:spacing w:before="120" w:after="120"/>
        <w:jc w:val="left"/>
      </w:pPr>
      <w:r>
        <w:t>The chapter has argued that the line between mediators one can leave and mediators one cannot is computable, and that it decides whether an actor’s remaining power is exit or voice. Where the mediator is contingent, the older sovereignty of exit still works, and the instruments of digital sovereignty apply. Where the mediator is necessary, only voice remains, and coordinative sovereignty is the theory of that voice, resting on non-domination, relational autonomy, involvement, and commons governance, and realized, if at all, through cooperatives, trusts, collective bargaining, contestability, and standing channels of governance.</w:t>
      </w:r>
    </w:p>
    <w:p>
      <w:pPr>
        <w:spacing w:before="120" w:after="120"/>
        <w:jc w:val="left"/>
      </w:pPr>
      <w:r>
        <w:t>The question that frames the research program is whether the sensibility can be widely shared. Literacy was once the possession of a clerical few and became, unevenly and incompletely, a general condition of citizenship, and democratic sovereignty followed the diffusion of the competence that made it possible. Algorithmacy is now what literacy was then, held by a narrow class of those who can model and act within the systems that coordinate the rest. Whether coordinative sovereignty becomes a general condition or remains the possession of an algorithmate few will depend on whether algorithmacy can be democratized as literacy was, or whether it will stay concentrated among a new constitutive priesthood. The answer is not settled, and the stakes are the sovereignty of everyone who now coordinates through a system they cannot see.</w:t>
      </w:r>
    </w:p>
    <w:p>
      <w:pPr>
        <w:spacing w:before="120" w:after="120"/>
        <w:jc w:val="left"/>
      </w:pPr>
      <w:r>
        <w:t>The chapter has offered a conceptual apparatus, meant to be put to work: as a starting point for measuring algorithmacy and coordinative sovereignty as distinct constructs, for classifying the mediations that organizations depend on, and for building the institutions through which standing under necessary mediation could be won. The larger claim is simple to state and hard to meet. Sovereignty in the age of AI rests on the standing of the coordinated to govern the coordinations that govern them, and on the diffusion of the competence that standing requires. Neither reading nor control secures it.</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References</w:t>
      </w:r>
    </w:p>
    <w:p>
      <w:pPr>
        <w:spacing w:before="120" w:after="120"/>
        <w:jc w:val="left"/>
      </w:pPr>
      <w:r>
        <w:t xml:space="preserve">Adler, P. S. (2001). Market, hierarchy, and trust: The knowledge economy and the future of capitalism. </w:t>
      </w:r>
      <w:r>
        <w:rPr>
          <w:i/>
          <w:iCs/>
        </w:rPr>
        <w:t>Organization Science, 12</w:t>
      </w:r>
      <w:r>
        <w:t xml:space="preserve">(2), 215–234. </w:t>
      </w:r>
      <w:hyperlink r:id="rId4" w:history="1">
        <w:r>
          <w:rPr>
            <w:color w:val="0000EE"/>
            <w:u w:val="single" w:color="0000EE"/>
          </w:rPr>
          <w:t>https://doi.org/10.1287/orsc.12.2.215.10117</w:t>
        </w:r>
      </w:hyperlink>
    </w:p>
    <w:p>
      <w:pPr>
        <w:spacing w:before="120" w:after="120"/>
        <w:jc w:val="left"/>
      </w:pPr>
      <w:r>
        <w:t xml:space="preserve">Alfrink, K., Keller, I., Kortuem, G., &amp; Doorn, N. (2023). Contestable AI by design: Towards a framework. </w:t>
      </w:r>
      <w:r>
        <w:rPr>
          <w:i/>
          <w:iCs/>
        </w:rPr>
        <w:t>Minds and Machines, 33</w:t>
      </w:r>
      <w:r>
        <w:t xml:space="preserve">(4), 613–639. </w:t>
      </w:r>
      <w:hyperlink r:id="rId5" w:history="1">
        <w:r>
          <w:rPr>
            <w:color w:val="0000EE"/>
            <w:u w:val="single" w:color="0000EE"/>
          </w:rPr>
          <w:t>https://doi.org/10.1007/s11023-022-09611-z</w:t>
        </w:r>
      </w:hyperlink>
    </w:p>
    <w:p>
      <w:pPr>
        <w:spacing w:before="120" w:after="120"/>
        <w:jc w:val="left"/>
      </w:pPr>
      <w:r>
        <w:t xml:space="preserve">Ananny, M., &amp; Crawford, K. (2018). Seeing without knowing: Limitations of the transparency ideal and its application to algorithmic accountability. </w:t>
      </w:r>
      <w:r>
        <w:rPr>
          <w:i/>
          <w:iCs/>
        </w:rPr>
        <w:t>New Media &amp; Society, 20</w:t>
      </w:r>
      <w:r>
        <w:t xml:space="preserve">(3), 973–989. </w:t>
      </w:r>
      <w:hyperlink r:id="rId6" w:history="1">
        <w:r>
          <w:rPr>
            <w:color w:val="0000EE"/>
            <w:u w:val="single" w:color="0000EE"/>
          </w:rPr>
          <w:t>https://doi.org/10.1177/1461444816676645</w:t>
        </w:r>
      </w:hyperlink>
    </w:p>
    <w:p>
      <w:pPr>
        <w:spacing w:before="120" w:after="120"/>
        <w:jc w:val="left"/>
      </w:pPr>
      <w:r>
        <w:t xml:space="preserve">Anderson, B. (2006). </w:t>
      </w:r>
      <w:r>
        <w:rPr>
          <w:i/>
          <w:iCs/>
        </w:rPr>
        <w:t>Imagined communities: Reflections on the origin and spread of nationalism</w:t>
      </w:r>
      <w:r>
        <w:t xml:space="preserve"> (Rev. ed.). Verso. (Original work published 1983)</w:t>
      </w:r>
    </w:p>
    <w:p>
      <w:pPr>
        <w:spacing w:before="120" w:after="120"/>
        <w:jc w:val="left"/>
      </w:pPr>
      <w:r>
        <w:t xml:space="preserve">Armstrong, M., &amp; Wright, J. (2007). Two-sided markets, competitive bottlenecks and exclusive contracts. </w:t>
      </w:r>
      <w:r>
        <w:rPr>
          <w:i/>
          <w:iCs/>
        </w:rPr>
        <w:t>Economic Theory, 32</w:t>
      </w:r>
      <w:r>
        <w:t xml:space="preserve">(2), 353–380. </w:t>
      </w:r>
      <w:hyperlink r:id="rId7" w:history="1">
        <w:r>
          <w:rPr>
            <w:color w:val="0000EE"/>
            <w:u w:val="single" w:color="0000EE"/>
          </w:rPr>
          <w:t>https://doi.org/10.1007/s00199-006-0114-6</w:t>
        </w:r>
      </w:hyperlink>
    </w:p>
    <w:p>
      <w:pPr>
        <w:spacing w:before="120" w:after="120"/>
        <w:jc w:val="left"/>
      </w:pPr>
      <w:r>
        <w:t xml:space="preserve">Author. (2026). </w:t>
      </w:r>
      <w:r>
        <w:rPr>
          <w:i/>
          <w:iCs/>
        </w:rPr>
        <w:t>Details omitted for double-anonymized review</w:t>
      </w:r>
      <w:r>
        <w:t>.</w:t>
      </w:r>
    </w:p>
    <w:p>
      <w:pPr>
        <w:spacing w:before="120" w:after="120"/>
        <w:jc w:val="left"/>
      </w:pPr>
      <w:r>
        <w:t xml:space="preserve">Bannerman, S. (2024). Platform imperialism, communications law and relational sovereignty. </w:t>
      </w:r>
      <w:r>
        <w:rPr>
          <w:i/>
          <w:iCs/>
        </w:rPr>
        <w:t>New Media &amp; Society, 26</w:t>
      </w:r>
      <w:r>
        <w:t xml:space="preserve">(4), 2140–2158. </w:t>
      </w:r>
      <w:hyperlink r:id="rId8" w:history="1">
        <w:r>
          <w:rPr>
            <w:color w:val="0000EE"/>
            <w:u w:val="single" w:color="0000EE"/>
          </w:rPr>
          <w:t>https://doi.org/10.1177/14614448221077284</w:t>
        </w:r>
      </w:hyperlink>
    </w:p>
    <w:p>
      <w:pPr>
        <w:spacing w:before="120" w:after="120"/>
        <w:jc w:val="left"/>
      </w:pPr>
      <w:r>
        <w:t xml:space="preserve">Bradford, A. (2020). </w:t>
      </w:r>
      <w:r>
        <w:rPr>
          <w:i/>
          <w:iCs/>
        </w:rPr>
        <w:t>The Brussels effect: How the European Union rules the world</w:t>
      </w:r>
      <w:r>
        <w:t xml:space="preserve">. Oxford University Press. </w:t>
      </w:r>
      <w:hyperlink r:id="rId9" w:history="1">
        <w:r>
          <w:rPr>
            <w:color w:val="0000EE"/>
            <w:u w:val="single" w:color="0000EE"/>
          </w:rPr>
          <w:t>https://doi.org/10.1093/oso/9780190088583.001.0001</w:t>
        </w:r>
      </w:hyperlink>
    </w:p>
    <w:p>
      <w:pPr>
        <w:spacing w:before="120" w:after="120"/>
        <w:jc w:val="left"/>
      </w:pPr>
      <w:r>
        <w:t xml:space="preserve">Braun, M., &amp; Hummel, P. (2025). Is digital sovereignty normatively desirable? </w:t>
      </w:r>
      <w:r>
        <w:rPr>
          <w:i/>
          <w:iCs/>
        </w:rPr>
        <w:t>Information, Communication &amp; Society, 28</w:t>
      </w:r>
      <w:r>
        <w:t xml:space="preserve">(10), 1721–1734. </w:t>
      </w:r>
      <w:hyperlink r:id="rId10" w:history="1">
        <w:r>
          <w:rPr>
            <w:color w:val="0000EE"/>
            <w:u w:val="single" w:color="0000EE"/>
          </w:rPr>
          <w:t>https://doi.org/10.1080/1369118X.2024.2332624</w:t>
        </w:r>
      </w:hyperlink>
    </w:p>
    <w:p>
      <w:pPr>
        <w:spacing w:before="120" w:after="120"/>
        <w:jc w:val="left"/>
      </w:pPr>
      <w:r>
        <w:t xml:space="preserve">Bucher, E. L., Schou, P. K., &amp; Waldkirch, M. (2021). Pacifying the algorithm – Anticipatory compliance in the face of algorithmic management in the gig economy. </w:t>
      </w:r>
      <w:r>
        <w:rPr>
          <w:i/>
          <w:iCs/>
        </w:rPr>
        <w:t>Organization, 28</w:t>
      </w:r>
      <w:r>
        <w:t xml:space="preserve">(1), 44–67. </w:t>
      </w:r>
      <w:hyperlink r:id="rId11" w:history="1">
        <w:r>
          <w:rPr>
            <w:color w:val="0000EE"/>
            <w:u w:val="single" w:color="0000EE"/>
          </w:rPr>
          <w:t>https://doi.org/10.1177/1350508420961531</w:t>
        </w:r>
      </w:hyperlink>
    </w:p>
    <w:p>
      <w:pPr>
        <w:spacing w:before="120" w:after="120"/>
        <w:jc w:val="left"/>
      </w:pPr>
      <w:r>
        <w:t xml:space="preserve">Burrell, J. (2016). How the machine “thinks”: Understanding opacity in machine learning algorithms. </w:t>
      </w:r>
      <w:r>
        <w:rPr>
          <w:i/>
          <w:iCs/>
        </w:rPr>
        <w:t>Big Data &amp; Society, 3</w:t>
      </w:r>
      <w:r>
        <w:t xml:space="preserve">(1). </w:t>
      </w:r>
      <w:hyperlink r:id="rId12" w:history="1">
        <w:r>
          <w:rPr>
            <w:color w:val="0000EE"/>
            <w:u w:val="single" w:color="0000EE"/>
          </w:rPr>
          <w:t>https://doi.org/10.1177/2053951715622512</w:t>
        </w:r>
      </w:hyperlink>
    </w:p>
    <w:p>
      <w:pPr>
        <w:spacing w:before="120" w:after="120"/>
        <w:jc w:val="left"/>
      </w:pPr>
      <w:r>
        <w:t xml:space="preserve">Burt, R. S. (2004). Structural holes and good ideas. </w:t>
      </w:r>
      <w:r>
        <w:rPr>
          <w:i/>
          <w:iCs/>
        </w:rPr>
        <w:t>American Journal of Sociology, 110</w:t>
      </w:r>
      <w:r>
        <w:t xml:space="preserve">(2), 349–399. </w:t>
      </w:r>
      <w:hyperlink r:id="rId13" w:history="1">
        <w:r>
          <w:rPr>
            <w:color w:val="0000EE"/>
            <w:u w:val="single" w:color="0000EE"/>
          </w:rPr>
          <w:t>https://doi.org/10.1086/421787</w:t>
        </w:r>
      </w:hyperlink>
    </w:p>
    <w:p>
      <w:pPr>
        <w:spacing w:before="120" w:after="120"/>
        <w:jc w:val="left"/>
      </w:pPr>
      <w:r>
        <w:t xml:space="preserve">Cohen, J. E. (2017). Law for the platform economy. </w:t>
      </w:r>
      <w:r>
        <w:rPr>
          <w:i/>
          <w:iCs/>
        </w:rPr>
        <w:t>UC Davis Law Review, 51</w:t>
      </w:r>
      <w:r>
        <w:t>(1), 133–204.</w:t>
      </w:r>
    </w:p>
    <w:p>
      <w:pPr>
        <w:spacing w:before="120" w:after="120"/>
        <w:jc w:val="left"/>
      </w:pPr>
      <w:r>
        <w:t xml:space="preserve">Couture, S., &amp; Toupin, S. (2019). What does the notion of “sovereignty” mean when referring to the digital? </w:t>
      </w:r>
      <w:r>
        <w:rPr>
          <w:i/>
          <w:iCs/>
        </w:rPr>
        <w:t>New Media &amp; Society, 21</w:t>
      </w:r>
      <w:r>
        <w:t xml:space="preserve">(10), 2305–2322. </w:t>
      </w:r>
      <w:hyperlink r:id="rId14" w:history="1">
        <w:r>
          <w:rPr>
            <w:color w:val="0000EE"/>
            <w:u w:val="single" w:color="0000EE"/>
          </w:rPr>
          <w:t>https://doi.org/10.1177/1461444819865984</w:t>
        </w:r>
      </w:hyperlink>
    </w:p>
    <w:p>
      <w:pPr>
        <w:spacing w:before="120" w:after="120"/>
        <w:jc w:val="left"/>
      </w:pPr>
      <w:r>
        <w:t xml:space="preserve">Cutolo, D., &amp; Kenney, M. (2021). Platform-dependent entrepreneurs: Power asymmetries, risks, and strategies in the platform economy. </w:t>
      </w:r>
      <w:r>
        <w:rPr>
          <w:i/>
          <w:iCs/>
        </w:rPr>
        <w:t>Academy of Management Perspectives, 35</w:t>
      </w:r>
      <w:r>
        <w:t xml:space="preserve">(4), 584–605. </w:t>
      </w:r>
      <w:hyperlink r:id="rId15" w:history="1">
        <w:r>
          <w:rPr>
            <w:color w:val="0000EE"/>
            <w:u w:val="single" w:color="0000EE"/>
          </w:rPr>
          <w:t>https://doi.org/10.5465/amp.2019.0103</w:t>
        </w:r>
      </w:hyperlink>
    </w:p>
    <w:p>
      <w:pPr>
        <w:spacing w:before="120" w:after="120"/>
        <w:jc w:val="left"/>
      </w:pPr>
      <w:r>
        <w:t xml:space="preserve">Dasgupta, P., McDonnell, A., Carbery, R., &amp; Jooss, S. (2025). A systematic review on worker voice in the platform economy: The constitution of a grassroots voice mechanism. </w:t>
      </w:r>
      <w:r>
        <w:rPr>
          <w:i/>
          <w:iCs/>
        </w:rPr>
        <w:t>Human Resource Management Journal, 35</w:t>
      </w:r>
      <w:r>
        <w:t xml:space="preserve">(3), 649–666. </w:t>
      </w:r>
      <w:hyperlink r:id="rId16" w:history="1">
        <w:r>
          <w:rPr>
            <w:color w:val="0000EE"/>
            <w:u w:val="single" w:color="0000EE"/>
          </w:rPr>
          <w:t>https://doi.org/10.1111/1748-8583.12587</w:t>
        </w:r>
      </w:hyperlink>
    </w:p>
    <w:p>
      <w:pPr>
        <w:spacing w:before="120" w:after="120"/>
        <w:jc w:val="left"/>
      </w:pPr>
      <w:r>
        <w:t xml:space="preserve">Delacroix, S., &amp; Lawrence, N. D. (2019). Bottom-up data trusts: Disturbing the “one size fits all” approach to data governance. </w:t>
      </w:r>
      <w:r>
        <w:rPr>
          <w:i/>
          <w:iCs/>
        </w:rPr>
        <w:t>International Data Privacy Law, 9</w:t>
      </w:r>
      <w:r>
        <w:t xml:space="preserve">(4), 236–252. </w:t>
      </w:r>
      <w:hyperlink r:id="rId17" w:history="1">
        <w:r>
          <w:rPr>
            <w:color w:val="0000EE"/>
            <w:u w:val="single" w:color="0000EE"/>
          </w:rPr>
          <w:t>https://doi.org/10.1093/idpl/ipz014</w:t>
        </w:r>
      </w:hyperlink>
    </w:p>
    <w:p>
      <w:pPr>
        <w:spacing w:before="120" w:after="120"/>
        <w:jc w:val="left"/>
      </w:pPr>
      <w:r>
        <w:t xml:space="preserve">DeVito, M. A. (2021). Adaptive folk theorization as a path to algorithmic literacy on changing platforms. </w:t>
      </w:r>
      <w:r>
        <w:rPr>
          <w:i/>
          <w:iCs/>
        </w:rPr>
        <w:t>Proceedings of the ACM on Human-Computer Interaction, 5</w:t>
      </w:r>
      <w:r>
        <w:t xml:space="preserve">(CSCW2), Article 339. </w:t>
      </w:r>
      <w:hyperlink r:id="rId18" w:history="1">
        <w:r>
          <w:rPr>
            <w:color w:val="0000EE"/>
            <w:u w:val="single" w:color="0000EE"/>
          </w:rPr>
          <w:t>https://doi.org/10.1145/3476080</w:t>
        </w:r>
      </w:hyperlink>
    </w:p>
    <w:p>
      <w:pPr>
        <w:spacing w:before="120" w:after="120"/>
        <w:jc w:val="left"/>
      </w:pPr>
      <w:r>
        <w:t xml:space="preserve">Dogruel, L., Masur, P., &amp; Joeckel, S. (2022). Development and validation of an algorithm literacy scale for internet users. </w:t>
      </w:r>
      <w:r>
        <w:rPr>
          <w:i/>
          <w:iCs/>
        </w:rPr>
        <w:t>Communication Methods and Measures, 16</w:t>
      </w:r>
      <w:r>
        <w:t xml:space="preserve">(2), 115–133. </w:t>
      </w:r>
      <w:hyperlink r:id="rId19" w:history="1">
        <w:r>
          <w:rPr>
            <w:color w:val="0000EE"/>
            <w:u w:val="single" w:color="0000EE"/>
          </w:rPr>
          <w:t>https://doi.org/10.1080/19312458.2021.1968361</w:t>
        </w:r>
      </w:hyperlink>
    </w:p>
    <w:p>
      <w:pPr>
        <w:spacing w:before="120" w:after="120"/>
        <w:jc w:val="left"/>
      </w:pPr>
      <w:r>
        <w:t xml:space="preserve">Eisenmann, T. R., Parker, G., &amp; Van Alstyne, M. W. (2006). Strategies for two-sided markets. </w:t>
      </w:r>
      <w:r>
        <w:rPr>
          <w:i/>
          <w:iCs/>
        </w:rPr>
        <w:t>Harvard Business Review, 84</w:t>
      </w:r>
      <w:r>
        <w:t>(10), 92–101.</w:t>
      </w:r>
    </w:p>
    <w:p>
      <w:pPr>
        <w:spacing w:before="120" w:after="120"/>
        <w:jc w:val="left"/>
      </w:pPr>
      <w:r>
        <w:t xml:space="preserve">Eisenstein, E. L. (1979). </w:t>
      </w:r>
      <w:r>
        <w:rPr>
          <w:i/>
          <w:iCs/>
        </w:rPr>
        <w:t>The printing press as an agent of change: Communications and cultural transformations in early modern Europe</w:t>
      </w:r>
      <w:r>
        <w:t>. Cambridge University Press.</w:t>
      </w:r>
    </w:p>
    <w:p>
      <w:pPr>
        <w:spacing w:before="120" w:after="120"/>
        <w:jc w:val="left"/>
      </w:pPr>
      <w:r>
        <w:t xml:space="preserve">Eslami, M., Karahalios, K., Sandvig, C., Vaccaro, K., Rickman, A., Hamilton, K., &amp; Kirlik, A. (2016). First I “like” it, then I hide it: Folk theories of social feeds. In </w:t>
      </w:r>
      <w:r>
        <w:rPr>
          <w:i/>
          <w:iCs/>
        </w:rPr>
        <w:t>Proceedings of the 2016 CHI Conference on Human Factors in Computing Systems</w:t>
      </w:r>
      <w:r>
        <w:t xml:space="preserve"> (pp. 2371–2382). ACM. </w:t>
      </w:r>
      <w:hyperlink r:id="rId20" w:history="1">
        <w:r>
          <w:rPr>
            <w:color w:val="0000EE"/>
            <w:u w:val="single" w:color="0000EE"/>
          </w:rPr>
          <w:t>https://doi.org/10.1145/2858036.2858494</w:t>
        </w:r>
      </w:hyperlink>
    </w:p>
    <w:p>
      <w:pPr>
        <w:spacing w:before="120" w:after="120"/>
        <w:jc w:val="left"/>
      </w:pPr>
      <w:r>
        <w:t xml:space="preserve">European Parliament &amp; Council of the European Union. (2024). </w:t>
      </w:r>
      <w:r>
        <w:rPr>
          <w:i/>
          <w:iCs/>
        </w:rPr>
        <w:t>Directive (EU) 2024/2831 of the European Parliament and of the Council of 23 October 2024 on improving working conditions in platform work</w:t>
      </w:r>
      <w:r>
        <w:t xml:space="preserve"> (Official Journal of the European Union, L 2024/2831). </w:t>
      </w:r>
      <w:hyperlink r:id="rId21" w:history="1">
        <w:r>
          <w:rPr>
            <w:color w:val="0000EE"/>
            <w:u w:val="single" w:color="0000EE"/>
          </w:rPr>
          <w:t>http://data.europa.eu/eli/dir/2024/2831/oj</w:t>
        </w:r>
      </w:hyperlink>
    </w:p>
    <w:p>
      <w:pPr>
        <w:spacing w:before="120" w:after="120"/>
        <w:jc w:val="left"/>
      </w:pPr>
      <w:r>
        <w:t xml:space="preserve">Floridi, L. (2020). The fight for digital sovereignty: What it is, and why it matters, especially for the EU. </w:t>
      </w:r>
      <w:r>
        <w:rPr>
          <w:i/>
          <w:iCs/>
        </w:rPr>
        <w:t>Philosophy &amp; Technology, 33</w:t>
      </w:r>
      <w:r>
        <w:t xml:space="preserve">(3), 369–378. </w:t>
      </w:r>
      <w:hyperlink r:id="rId22" w:history="1">
        <w:r>
          <w:rPr>
            <w:color w:val="0000EE"/>
            <w:u w:val="single" w:color="0000EE"/>
          </w:rPr>
          <w:t>https://doi.org/10.1007/s13347-020-00423-6</w:t>
        </w:r>
      </w:hyperlink>
    </w:p>
    <w:p>
      <w:pPr>
        <w:spacing w:before="120" w:after="120"/>
        <w:jc w:val="left"/>
      </w:pPr>
      <w:r>
        <w:t xml:space="preserve">Fratini, S., Hine, E., Novelli, C., Roberts, H., &amp; Floridi, L. (2024). Digital sovereignty: A descriptive analysis and a critical evaluation of existing models. </w:t>
      </w:r>
      <w:r>
        <w:rPr>
          <w:i/>
          <w:iCs/>
        </w:rPr>
        <w:t>Digital Society, 3</w:t>
      </w:r>
      <w:r>
        <w:t xml:space="preserve">(3), Article 59. </w:t>
      </w:r>
      <w:hyperlink r:id="rId23" w:history="1">
        <w:r>
          <w:rPr>
            <w:color w:val="0000EE"/>
            <w:u w:val="single" w:color="0000EE"/>
          </w:rPr>
          <w:t>https://doi.org/10.1007/s44206-024-00146-7</w:t>
        </w:r>
      </w:hyperlink>
    </w:p>
    <w:p>
      <w:pPr>
        <w:spacing w:before="120" w:after="120"/>
        <w:jc w:val="left"/>
      </w:pPr>
      <w:r>
        <w:t xml:space="preserve">Goody, J. (1977). </w:t>
      </w:r>
      <w:r>
        <w:rPr>
          <w:i/>
          <w:iCs/>
        </w:rPr>
        <w:t>The domestication of the savage mind</w:t>
      </w:r>
      <w:r>
        <w:t>. Cambridge University Press.</w:t>
      </w:r>
    </w:p>
    <w:p>
      <w:pPr>
        <w:spacing w:before="120" w:after="120"/>
        <w:jc w:val="left"/>
      </w:pPr>
      <w:r>
        <w:t xml:space="preserve">Habermas, J. (1989). </w:t>
      </w:r>
      <w:r>
        <w:rPr>
          <w:i/>
          <w:iCs/>
        </w:rPr>
        <w:t>The structural transformation of the public sphere: An inquiry into a category of bourgeois society</w:t>
      </w:r>
      <w:r>
        <w:t xml:space="preserve"> (T. Burger &amp; F. Lawrence, Trans.). MIT Press. (Original work published 1962)</w:t>
      </w:r>
    </w:p>
    <w:p>
      <w:pPr>
        <w:spacing w:before="120" w:after="120"/>
        <w:jc w:val="left"/>
      </w:pPr>
      <w:r>
        <w:t xml:space="preserve">Hahl, O., Kacperczyk, A., &amp; Davis, J. P. (2016). Knowledge asymmetry and brokerage: Linking network perception to position in structural holes. </w:t>
      </w:r>
      <w:r>
        <w:rPr>
          <w:i/>
          <w:iCs/>
        </w:rPr>
        <w:t>Strategic Organization, 14</w:t>
      </w:r>
      <w:r>
        <w:t xml:space="preserve">(2), 118–143. </w:t>
      </w:r>
      <w:hyperlink r:id="rId24" w:history="1">
        <w:r>
          <w:rPr>
            <w:color w:val="0000EE"/>
            <w:u w:val="single" w:color="0000EE"/>
          </w:rPr>
          <w:t>https://doi.org/10.1177/1476127015624274</w:t>
        </w:r>
      </w:hyperlink>
    </w:p>
    <w:p>
      <w:pPr>
        <w:spacing w:before="120" w:after="120"/>
        <w:jc w:val="left"/>
      </w:pPr>
      <w:r>
        <w:t xml:space="preserve">Hildebrandt, M. (2015). </w:t>
      </w:r>
      <w:r>
        <w:rPr>
          <w:i/>
          <w:iCs/>
        </w:rPr>
        <w:t>Smart technologies and the end(s) of law: Novel entanglements of law and technology</w:t>
      </w:r>
      <w:r>
        <w:t>. Edward Elgar Publishing.</w:t>
      </w:r>
    </w:p>
    <w:p>
      <w:pPr>
        <w:spacing w:before="120" w:after="120"/>
        <w:jc w:val="left"/>
      </w:pPr>
      <w:r>
        <w:t xml:space="preserve">Hirschman, A. O. (1970). </w:t>
      </w:r>
      <w:r>
        <w:rPr>
          <w:i/>
          <w:iCs/>
        </w:rPr>
        <w:t>Exit, voice, and loyalty: Responses to decline in firms, organizations, and states</w:t>
      </w:r>
      <w:r>
        <w:t>. Harvard University Press.</w:t>
      </w:r>
    </w:p>
    <w:p>
      <w:pPr>
        <w:spacing w:before="120" w:after="120"/>
        <w:jc w:val="left"/>
      </w:pPr>
      <w:r>
        <w:t xml:space="preserve">Hummel, P., Braun, M., Tretter, M., &amp; Dabrock, P. (2021). Data sovereignty: A review. </w:t>
      </w:r>
      <w:r>
        <w:rPr>
          <w:i/>
          <w:iCs/>
        </w:rPr>
        <w:t>Big Data &amp; Society, 8</w:t>
      </w:r>
      <w:r>
        <w:t xml:space="preserve">(1). </w:t>
      </w:r>
      <w:hyperlink r:id="rId25" w:history="1">
        <w:r>
          <w:rPr>
            <w:color w:val="0000EE"/>
            <w:u w:val="single" w:color="0000EE"/>
          </w:rPr>
          <w:t>https://doi.org/10.1177/2053951720982012</w:t>
        </w:r>
      </w:hyperlink>
    </w:p>
    <w:p>
      <w:pPr>
        <w:spacing w:before="120" w:after="120"/>
        <w:jc w:val="left"/>
      </w:pPr>
      <w:r>
        <w:t xml:space="preserve">Innis, H. A. (1951). </w:t>
      </w:r>
      <w:r>
        <w:rPr>
          <w:i/>
          <w:iCs/>
        </w:rPr>
        <w:t>The bias of communication</w:t>
      </w:r>
      <w:r>
        <w:t>. University of Toronto Press.</w:t>
      </w:r>
    </w:p>
    <w:p>
      <w:pPr>
        <w:spacing w:before="120" w:after="120"/>
        <w:jc w:val="left"/>
      </w:pPr>
      <w:r>
        <w:t xml:space="preserve">Kellogg, K. C., Valentine, M. A., &amp; Christin, A. (2020). Algorithms at work: The new contested terrain of control. </w:t>
      </w:r>
      <w:r>
        <w:rPr>
          <w:i/>
          <w:iCs/>
        </w:rPr>
        <w:t>Academy of Management Annals, 14</w:t>
      </w:r>
      <w:r>
        <w:t xml:space="preserve">(1), 366–410. </w:t>
      </w:r>
      <w:hyperlink r:id="rId26" w:history="1">
        <w:r>
          <w:rPr>
            <w:color w:val="0000EE"/>
            <w:u w:val="single" w:color="0000EE"/>
          </w:rPr>
          <w:t>https://doi.org/10.5465/annals.2018.0174</w:t>
        </w:r>
      </w:hyperlink>
    </w:p>
    <w:p>
      <w:pPr>
        <w:spacing w:before="120" w:after="120"/>
        <w:jc w:val="left"/>
      </w:pPr>
      <w:r>
        <w:t xml:space="preserve">Klonick, K. (2018). The new governors: The people, rules, and processes governing online speech. </w:t>
      </w:r>
      <w:r>
        <w:rPr>
          <w:i/>
          <w:iCs/>
        </w:rPr>
        <w:t>Harvard Law Review, 131</w:t>
      </w:r>
      <w:r>
        <w:t>(6), 1598–1670.</w:t>
      </w:r>
    </w:p>
    <w:p>
      <w:pPr>
        <w:spacing w:before="120" w:after="120"/>
        <w:jc w:val="left"/>
      </w:pPr>
      <w:r>
        <w:t xml:space="preserve">Krasner, S. D. (1999). </w:t>
      </w:r>
      <w:r>
        <w:rPr>
          <w:i/>
          <w:iCs/>
        </w:rPr>
        <w:t>Sovereignty: Organized hypocrisy</w:t>
      </w:r>
      <w:r>
        <w:t>. Princeton University Press.</w:t>
      </w:r>
    </w:p>
    <w:p>
      <w:pPr>
        <w:spacing w:before="120" w:after="120"/>
        <w:jc w:val="left"/>
      </w:pPr>
      <w:r>
        <w:t xml:space="preserve">Lei, Y.-W. (2021). Delivering solidarity: Platform architecture and collective contention in China’s platform economy. </w:t>
      </w:r>
      <w:r>
        <w:rPr>
          <w:i/>
          <w:iCs/>
        </w:rPr>
        <w:t>American Sociological Review, 86</w:t>
      </w:r>
      <w:r>
        <w:t xml:space="preserve">(2), 279–309. </w:t>
      </w:r>
      <w:hyperlink r:id="rId27" w:history="1">
        <w:r>
          <w:rPr>
            <w:color w:val="0000EE"/>
            <w:u w:val="single" w:color="0000EE"/>
          </w:rPr>
          <w:t>https://doi.org/10.1177/0003122420979980</w:t>
        </w:r>
      </w:hyperlink>
    </w:p>
    <w:p>
      <w:pPr>
        <w:spacing w:before="120" w:after="120"/>
        <w:jc w:val="left"/>
      </w:pPr>
      <w:r>
        <w:t xml:space="preserve">Mackenzie, C., &amp; Stoljar, N. (Eds.). (2000). </w:t>
      </w:r>
      <w:r>
        <w:rPr>
          <w:i/>
          <w:iCs/>
        </w:rPr>
        <w:t>Relational autonomy: Feminist perspectives on autonomy, agency, and the social self</w:t>
      </w:r>
      <w:r>
        <w:t>. Oxford University Press.</w:t>
      </w:r>
    </w:p>
    <w:p>
      <w:pPr>
        <w:spacing w:before="120" w:after="120"/>
        <w:jc w:val="left"/>
      </w:pPr>
      <w:r>
        <w:t xml:space="preserve">Markell, P. (2008). The insufficiency of non-domination. </w:t>
      </w:r>
      <w:r>
        <w:rPr>
          <w:i/>
          <w:iCs/>
        </w:rPr>
        <w:t>Political Theory, 36</w:t>
      </w:r>
      <w:r>
        <w:t xml:space="preserve">(1), 9–36. </w:t>
      </w:r>
      <w:hyperlink r:id="rId28" w:history="1">
        <w:r>
          <w:rPr>
            <w:color w:val="0000EE"/>
            <w:u w:val="single" w:color="0000EE"/>
          </w:rPr>
          <w:t>https://doi.org/10.1177/0090591707310084</w:t>
        </w:r>
      </w:hyperlink>
    </w:p>
    <w:p>
      <w:pPr>
        <w:spacing w:before="120" w:after="120"/>
        <w:jc w:val="left"/>
      </w:pPr>
      <w:r>
        <w:t xml:space="preserve">Micheli, M., Ponti, M., Craglia, M., &amp; Berti Suman, A. (2020). Emerging models of data governance in the age of datafication. </w:t>
      </w:r>
      <w:r>
        <w:rPr>
          <w:i/>
          <w:iCs/>
        </w:rPr>
        <w:t>Big Data &amp; Society, 7</w:t>
      </w:r>
      <w:r>
        <w:t xml:space="preserve">(2). </w:t>
      </w:r>
      <w:hyperlink r:id="rId29" w:history="1">
        <w:r>
          <w:rPr>
            <w:color w:val="0000EE"/>
            <w:u w:val="single" w:color="0000EE"/>
          </w:rPr>
          <w:t>https://doi.org/10.1177/2053951720948087</w:t>
        </w:r>
      </w:hyperlink>
    </w:p>
    <w:p>
      <w:pPr>
        <w:spacing w:before="120" w:after="120"/>
        <w:jc w:val="left"/>
      </w:pPr>
      <w:r>
        <w:t xml:space="preserve">Möhlmann, M., Alves de Lima Salge, C., &amp; Marabelli, M. (2023). Algorithm sensemaking: How platform workers make sense of algorithmic management. </w:t>
      </w:r>
      <w:r>
        <w:rPr>
          <w:i/>
          <w:iCs/>
        </w:rPr>
        <w:t>Journal of the Association for Information Systems, 24</w:t>
      </w:r>
      <w:r>
        <w:t xml:space="preserve">(1), 35–64. </w:t>
      </w:r>
      <w:hyperlink r:id="rId30" w:history="1">
        <w:r>
          <w:rPr>
            <w:color w:val="0000EE"/>
            <w:u w:val="single" w:color="0000EE"/>
          </w:rPr>
          <w:t>https://doi.org/10.17705/1jais.00774</w:t>
        </w:r>
      </w:hyperlink>
    </w:p>
    <w:p>
      <w:pPr>
        <w:spacing w:before="120" w:after="120"/>
        <w:jc w:val="left"/>
      </w:pPr>
      <w:r>
        <w:t xml:space="preserve">Muldoon, J., &amp; Raekstad, P. (2022). Algorithmic domination in the gig economy. </w:t>
      </w:r>
      <w:r>
        <w:rPr>
          <w:i/>
          <w:iCs/>
        </w:rPr>
        <w:t>European Journal of Political Theory, 22</w:t>
      </w:r>
      <w:r>
        <w:t xml:space="preserve">(4), 587–607. </w:t>
      </w:r>
      <w:hyperlink r:id="rId31" w:history="1">
        <w:r>
          <w:rPr>
            <w:color w:val="0000EE"/>
            <w:u w:val="single" w:color="0000EE"/>
          </w:rPr>
          <w:t>https://doi.org/10.1177/14748851221082078</w:t>
        </w:r>
      </w:hyperlink>
    </w:p>
    <w:p>
      <w:pPr>
        <w:spacing w:before="120" w:after="120"/>
        <w:jc w:val="left"/>
      </w:pPr>
      <w:r>
        <w:t xml:space="preserve">Nedelsky, J. (2011). </w:t>
      </w:r>
      <w:r>
        <w:rPr>
          <w:i/>
          <w:iCs/>
        </w:rPr>
        <w:t>Law’s relations: A relational theory of self, autonomy, and law</w:t>
      </w:r>
      <w:r>
        <w:t>. Oxford University Press.</w:t>
      </w:r>
    </w:p>
    <w:p>
      <w:pPr>
        <w:spacing w:before="120" w:after="120"/>
        <w:jc w:val="left"/>
      </w:pPr>
      <w:r>
        <w:t xml:space="preserve">Nussbaum, M. C. (2006). Education and democratic citizenship: Capabilities and quality education. </w:t>
      </w:r>
      <w:r>
        <w:rPr>
          <w:i/>
          <w:iCs/>
        </w:rPr>
        <w:t>Journal of Human Development, 7</w:t>
      </w:r>
      <w:r>
        <w:t xml:space="preserve">(3), 385–395. </w:t>
      </w:r>
      <w:hyperlink r:id="rId32" w:history="1">
        <w:r>
          <w:rPr>
            <w:color w:val="0000EE"/>
            <w:u w:val="single" w:color="0000EE"/>
          </w:rPr>
          <w:t>https://doi.org/10.1080/14649880600815974</w:t>
        </w:r>
      </w:hyperlink>
    </w:p>
    <w:p>
      <w:pPr>
        <w:spacing w:before="120" w:after="120"/>
        <w:jc w:val="left"/>
      </w:pPr>
      <w:r>
        <w:t xml:space="preserve">Obstfeld, D. (2005). Social networks, the </w:t>
      </w:r>
      <w:r>
        <w:rPr>
          <w:i/>
          <w:iCs/>
        </w:rPr>
        <w:t>tertius iungens</w:t>
      </w:r>
      <w:r>
        <w:t xml:space="preserve"> orientation, and involvement in innovation. </w:t>
      </w:r>
      <w:r>
        <w:rPr>
          <w:i/>
          <w:iCs/>
        </w:rPr>
        <w:t>Administrative Science Quarterly, 50</w:t>
      </w:r>
      <w:r>
        <w:t xml:space="preserve">(1), 100–130. </w:t>
      </w:r>
      <w:hyperlink r:id="rId33" w:history="1">
        <w:r>
          <w:rPr>
            <w:color w:val="0000EE"/>
            <w:u w:val="single" w:color="0000EE"/>
          </w:rPr>
          <w:t>https://doi.org/10.2189/asqu.2005.50.1.100</w:t>
        </w:r>
      </w:hyperlink>
    </w:p>
    <w:p>
      <w:pPr>
        <w:spacing w:before="120" w:after="120"/>
        <w:jc w:val="left"/>
      </w:pPr>
      <w:r>
        <w:t xml:space="preserve">Ong, W. J. (1982). </w:t>
      </w:r>
      <w:r>
        <w:rPr>
          <w:i/>
          <w:iCs/>
        </w:rPr>
        <w:t>Orality and literacy: The technologizing of the word</w:t>
      </w:r>
      <w:r>
        <w:t>. Methuen.</w:t>
      </w:r>
    </w:p>
    <w:p>
      <w:pPr>
        <w:spacing w:before="120" w:after="120"/>
        <w:jc w:val="left"/>
      </w:pPr>
      <w:r>
        <w:t xml:space="preserve">Ostrom, E. (1990). </w:t>
      </w:r>
      <w:r>
        <w:rPr>
          <w:i/>
          <w:iCs/>
        </w:rPr>
        <w:t>Governing the commons: The evolution of institutions for collective action</w:t>
      </w:r>
      <w:r>
        <w:t>. Cambridge University Press.</w:t>
      </w:r>
    </w:p>
    <w:p>
      <w:pPr>
        <w:spacing w:before="120" w:after="120"/>
        <w:jc w:val="left"/>
      </w:pPr>
      <w:r>
        <w:t xml:space="preserve">Pangrazio, L., &amp; Selwyn, N. (2019). “Personal data literacies”: A critical literacies approach to enhancing understandings of personal digital data. </w:t>
      </w:r>
      <w:r>
        <w:rPr>
          <w:i/>
          <w:iCs/>
        </w:rPr>
        <w:t>New Media &amp; Society, 21</w:t>
      </w:r>
      <w:r>
        <w:t xml:space="preserve">(2), 419–437. </w:t>
      </w:r>
      <w:hyperlink r:id="rId34" w:history="1">
        <w:r>
          <w:rPr>
            <w:color w:val="0000EE"/>
            <w:u w:val="single" w:color="0000EE"/>
          </w:rPr>
          <w:t>https://doi.org/10.1177/1461444818799523</w:t>
        </w:r>
      </w:hyperlink>
    </w:p>
    <w:p>
      <w:pPr>
        <w:spacing w:before="120" w:after="120"/>
        <w:jc w:val="left"/>
      </w:pPr>
      <w:r>
        <w:t xml:space="preserve">Pasquale, F. (2023). Two visions for data governance: Territorial vs. functional sovereignty. In A. Chander &amp; H. Sun (Eds.), </w:t>
      </w:r>
      <w:r>
        <w:rPr>
          <w:i/>
          <w:iCs/>
        </w:rPr>
        <w:t>Data sovereignty: From the digital silk road to the return of the state</w:t>
      </w:r>
      <w:r>
        <w:t xml:space="preserve"> (pp. 33–55). Oxford University Press. </w:t>
      </w:r>
      <w:hyperlink r:id="rId35" w:history="1">
        <w:r>
          <w:rPr>
            <w:color w:val="0000EE"/>
            <w:u w:val="single" w:color="0000EE"/>
          </w:rPr>
          <w:t>https://doi.org/10.1093/oso/9780197582794.003.0002</w:t>
        </w:r>
      </w:hyperlink>
    </w:p>
    <w:p>
      <w:pPr>
        <w:spacing w:before="120" w:after="120"/>
        <w:jc w:val="left"/>
      </w:pPr>
      <w:r>
        <w:t xml:space="preserve">Pettit, P. (1997). </w:t>
      </w:r>
      <w:r>
        <w:rPr>
          <w:i/>
          <w:iCs/>
        </w:rPr>
        <w:t>Republicanism: A theory of freedom and government</w:t>
      </w:r>
      <w:r>
        <w:t>. Oxford University Press.</w:t>
      </w:r>
    </w:p>
    <w:p>
      <w:pPr>
        <w:spacing w:before="120" w:after="120"/>
        <w:jc w:val="left"/>
      </w:pPr>
      <w:r>
        <w:t xml:space="preserve">Pohle, J., &amp; Thiel, T. (2020). Digital sovereignty. </w:t>
      </w:r>
      <w:r>
        <w:rPr>
          <w:i/>
          <w:iCs/>
        </w:rPr>
        <w:t>Internet Policy Review, 9</w:t>
      </w:r>
      <w:r>
        <w:t xml:space="preserve">(4). </w:t>
      </w:r>
      <w:hyperlink r:id="rId36" w:history="1">
        <w:r>
          <w:rPr>
            <w:color w:val="0000EE"/>
            <w:u w:val="single" w:color="0000EE"/>
          </w:rPr>
          <w:t>https://doi.org/10.14763/2020.4.1532</w:t>
        </w:r>
      </w:hyperlink>
    </w:p>
    <w:p>
      <w:pPr>
        <w:spacing w:before="120" w:after="120"/>
        <w:jc w:val="left"/>
      </w:pPr>
      <w:r>
        <w:t xml:space="preserve">Powell, W. W. (1990). Neither market nor hierarchy: Network forms of organization. </w:t>
      </w:r>
      <w:r>
        <w:rPr>
          <w:i/>
          <w:iCs/>
        </w:rPr>
        <w:t>Research in Organizational Behavior, 12</w:t>
      </w:r>
      <w:r>
        <w:t>, 295–336.</w:t>
      </w:r>
    </w:p>
    <w:p>
      <w:pPr>
        <w:spacing w:before="120" w:after="120"/>
        <w:jc w:val="left"/>
      </w:pPr>
      <w:r>
        <w:t xml:space="preserve">Rahman, H. A. (2021). The invisible cage: Workers’ reactivity to opaque algorithmic evaluations. </w:t>
      </w:r>
      <w:r>
        <w:rPr>
          <w:i/>
          <w:iCs/>
        </w:rPr>
        <w:t>Administrative Science Quarterly, 66</w:t>
      </w:r>
      <w:r>
        <w:t xml:space="preserve">(4), 945–988. </w:t>
      </w:r>
      <w:hyperlink r:id="rId37" w:history="1">
        <w:r>
          <w:rPr>
            <w:color w:val="0000EE"/>
            <w:u w:val="single" w:color="0000EE"/>
          </w:rPr>
          <w:t>https://doi.org/10.1177/00018392211010118</w:t>
        </w:r>
      </w:hyperlink>
    </w:p>
    <w:p>
      <w:pPr>
        <w:spacing w:before="120" w:after="120"/>
        <w:jc w:val="left"/>
      </w:pPr>
      <w:r>
        <w:t xml:space="preserve">Rahman, H. A., Karunakaran, A., &amp; Cameron, L. D. (2024). Taming platform power: Taking accountability into account in platform management. </w:t>
      </w:r>
      <w:r>
        <w:rPr>
          <w:i/>
          <w:iCs/>
        </w:rPr>
        <w:t>Academy of Management Annals, 18</w:t>
      </w:r>
      <w:r>
        <w:t xml:space="preserve">(1), 251–294. </w:t>
      </w:r>
      <w:hyperlink r:id="rId38" w:history="1">
        <w:r>
          <w:rPr>
            <w:color w:val="0000EE"/>
            <w:u w:val="single" w:color="0000EE"/>
          </w:rPr>
          <w:t>https://doi.org/10.5465/annals.2022.0090</w:t>
        </w:r>
      </w:hyperlink>
    </w:p>
    <w:p>
      <w:pPr>
        <w:spacing w:before="120" w:after="120"/>
        <w:jc w:val="left"/>
      </w:pPr>
      <w:r>
        <w:t xml:space="preserve">Repetto, E. (2025). Concept “stretching” or concept innovation? A review of the usages of sovereignty in the digital sovereignty literature. </w:t>
      </w:r>
      <w:r>
        <w:rPr>
          <w:i/>
          <w:iCs/>
        </w:rPr>
        <w:t>Policy &amp; Internet, 17</w:t>
      </w:r>
      <w:r>
        <w:t xml:space="preserve">(3). </w:t>
      </w:r>
      <w:hyperlink r:id="rId39" w:history="1">
        <w:r>
          <w:rPr>
            <w:color w:val="0000EE"/>
            <w:u w:val="single" w:color="0000EE"/>
          </w:rPr>
          <w:t>https://doi.org/10.1002/poi3.70011</w:t>
        </w:r>
      </w:hyperlink>
    </w:p>
    <w:p>
      <w:pPr>
        <w:spacing w:before="120" w:after="120"/>
        <w:jc w:val="left"/>
      </w:pPr>
      <w:r>
        <w:t xml:space="preserve">Roberts, H., Cowls, J., Casolari, F., Morley, J., Taddeo, M., &amp; Floridi, L. (2021). Safeguarding European values with digital sovereignty: An analysis of statements and policies. </w:t>
      </w:r>
      <w:r>
        <w:rPr>
          <w:i/>
          <w:iCs/>
        </w:rPr>
        <w:t>Internet Policy Review, 10</w:t>
      </w:r>
      <w:r>
        <w:t xml:space="preserve">(3). </w:t>
      </w:r>
      <w:hyperlink r:id="rId40" w:history="1">
        <w:r>
          <w:rPr>
            <w:color w:val="0000EE"/>
            <w:u w:val="single" w:color="0000EE"/>
          </w:rPr>
          <w:t>https://doi.org/10.14763/2021.3.1575</w:t>
        </w:r>
      </w:hyperlink>
    </w:p>
    <w:p>
      <w:pPr>
        <w:spacing w:before="120" w:after="120"/>
        <w:jc w:val="left"/>
      </w:pPr>
      <w:r>
        <w:t xml:space="preserve">Robinson, A. P., &amp; Meijerink, J. G. (2026). Algorithmic management in limbo: Task-driven interweaving of hierarchy and market management. </w:t>
      </w:r>
      <w:r>
        <w:rPr>
          <w:i/>
          <w:iCs/>
        </w:rPr>
        <w:t>Human Resource Management, 65</w:t>
      </w:r>
      <w:r>
        <w:t xml:space="preserve">(1), 117–131. </w:t>
      </w:r>
      <w:hyperlink r:id="rId41" w:history="1">
        <w:r>
          <w:rPr>
            <w:color w:val="0000EE"/>
            <w:u w:val="single" w:color="0000EE"/>
          </w:rPr>
          <w:t>https://doi.org/10.1002/hrm.70019</w:t>
        </w:r>
      </w:hyperlink>
    </w:p>
    <w:p>
      <w:pPr>
        <w:spacing w:before="120" w:after="120"/>
        <w:jc w:val="left"/>
      </w:pPr>
      <w:r>
        <w:t xml:space="preserve">Rochet, J.-C., &amp; Tirole, J. (2003). Platform competition in two-sided markets. </w:t>
      </w:r>
      <w:r>
        <w:rPr>
          <w:i/>
          <w:iCs/>
        </w:rPr>
        <w:t>Journal of the European Economic Association, 1</w:t>
      </w:r>
      <w:r>
        <w:t xml:space="preserve">(4), 990–1029. </w:t>
      </w:r>
      <w:hyperlink r:id="rId42" w:history="1">
        <w:r>
          <w:rPr>
            <w:color w:val="0000EE"/>
            <w:u w:val="single" w:color="0000EE"/>
          </w:rPr>
          <w:t>https://doi.org/10.1162/154247603322493212</w:t>
        </w:r>
      </w:hyperlink>
    </w:p>
    <w:p>
      <w:pPr>
        <w:spacing w:before="120" w:after="120"/>
        <w:jc w:val="left"/>
      </w:pPr>
      <w:r>
        <w:t xml:space="preserve">Sander, I. (2020). What is critical big data literacy and how can it be implemented? </w:t>
      </w:r>
      <w:r>
        <w:rPr>
          <w:i/>
          <w:iCs/>
        </w:rPr>
        <w:t>Internet Policy Review, 9</w:t>
      </w:r>
      <w:r>
        <w:t xml:space="preserve">(2). </w:t>
      </w:r>
      <w:hyperlink r:id="rId43" w:history="1">
        <w:r>
          <w:rPr>
            <w:color w:val="0000EE"/>
            <w:u w:val="single" w:color="0000EE"/>
          </w:rPr>
          <w:t>https://doi.org/10.14763/2020.2.1479</w:t>
        </w:r>
      </w:hyperlink>
    </w:p>
    <w:p>
      <w:pPr>
        <w:spacing w:before="120" w:after="120"/>
        <w:jc w:val="left"/>
      </w:pPr>
      <w:r>
        <w:t xml:space="preserve">Schmuntzsch, U., Shajek, A., &amp; Hartmann, E. A. (Eds.). (2025). </w:t>
      </w:r>
      <w:r>
        <w:rPr>
          <w:i/>
          <w:iCs/>
        </w:rPr>
        <w:t>New digital work II: Digital sovereignty of companies and organizations</w:t>
      </w:r>
      <w:r>
        <w:t xml:space="preserve">. Springer. </w:t>
      </w:r>
      <w:hyperlink r:id="rId44" w:history="1">
        <w:r>
          <w:rPr>
            <w:color w:val="0000EE"/>
            <w:u w:val="single" w:color="0000EE"/>
          </w:rPr>
          <w:t>https://doi.org/10.1007/978-3-031-69994-8</w:t>
        </w:r>
      </w:hyperlink>
    </w:p>
    <w:p>
      <w:pPr>
        <w:spacing w:before="120" w:after="120"/>
        <w:jc w:val="left"/>
      </w:pPr>
      <w:r>
        <w:t xml:space="preserve">Scholz, T. (2016). </w:t>
      </w:r>
      <w:r>
        <w:rPr>
          <w:i/>
          <w:iCs/>
        </w:rPr>
        <w:t>Platform cooperativism: Challenging the corporate sharing economy</w:t>
      </w:r>
      <w:r>
        <w:t>. Rosa Luxemburg Stiftung.</w:t>
      </w:r>
    </w:p>
    <w:p>
      <w:pPr>
        <w:spacing w:before="120" w:after="120"/>
        <w:jc w:val="left"/>
      </w:pPr>
      <w:r>
        <w:t xml:space="preserve">Scott, J. C. (1998). </w:t>
      </w:r>
      <w:r>
        <w:rPr>
          <w:i/>
          <w:iCs/>
        </w:rPr>
        <w:t>Seeing like a state: How certain schemes to improve the human condition have failed</w:t>
      </w:r>
      <w:r>
        <w:t>. Yale University Press.</w:t>
      </w:r>
    </w:p>
    <w:p>
      <w:pPr>
        <w:spacing w:before="120" w:after="120"/>
        <w:jc w:val="left"/>
      </w:pPr>
      <w:r>
        <w:t xml:space="preserve">Scribner, S., &amp; Cole, M. (1981). </w:t>
      </w:r>
      <w:r>
        <w:rPr>
          <w:i/>
          <w:iCs/>
        </w:rPr>
        <w:t>The psychology of literacy</w:t>
      </w:r>
      <w:r>
        <w:t>. Harvard University Press.</w:t>
      </w:r>
    </w:p>
    <w:p>
      <w:pPr>
        <w:spacing w:before="120" w:after="120"/>
        <w:jc w:val="left"/>
      </w:pPr>
      <w:r>
        <w:t xml:space="preserve">Selznick, P. (1949). </w:t>
      </w:r>
      <w:r>
        <w:rPr>
          <w:i/>
          <w:iCs/>
        </w:rPr>
        <w:t>TVA and the grass roots: A study in the sociology of formal organization</w:t>
      </w:r>
      <w:r>
        <w:t>. University of California Press.</w:t>
      </w:r>
    </w:p>
    <w:p>
      <w:pPr>
        <w:spacing w:before="120" w:after="120"/>
        <w:jc w:val="left"/>
      </w:pPr>
      <w:r>
        <w:t xml:space="preserve">Sen, A. (1999). </w:t>
      </w:r>
      <w:r>
        <w:rPr>
          <w:i/>
          <w:iCs/>
        </w:rPr>
        <w:t>Development as freedom</w:t>
      </w:r>
      <w:r>
        <w:t>. Alfred A. Knopf.</w:t>
      </w:r>
    </w:p>
    <w:p>
      <w:pPr>
        <w:spacing w:before="120" w:after="120"/>
        <w:jc w:val="left"/>
      </w:pPr>
      <w:r>
        <w:t xml:space="preserve">Simmel, G. (1950). </w:t>
      </w:r>
      <w:r>
        <w:rPr>
          <w:i/>
          <w:iCs/>
        </w:rPr>
        <w:t>The sociology of Georg Simmel</w:t>
      </w:r>
      <w:r>
        <w:t xml:space="preserve"> (K. H. Wolff, Ed. &amp; Trans.). Free Press. (Original work published 1908)</w:t>
      </w:r>
    </w:p>
    <w:p>
      <w:pPr>
        <w:spacing w:before="120" w:after="120"/>
        <w:jc w:val="left"/>
      </w:pPr>
      <w:r>
        <w:t xml:space="preserve">Skinner, Q. (1998). </w:t>
      </w:r>
      <w:r>
        <w:rPr>
          <w:i/>
          <w:iCs/>
        </w:rPr>
        <w:t>Liberty before liberalism</w:t>
      </w:r>
      <w:r>
        <w:t>. Cambridge University Press.</w:t>
      </w:r>
    </w:p>
    <w:p>
      <w:pPr>
        <w:spacing w:before="120" w:after="120"/>
        <w:jc w:val="left"/>
      </w:pPr>
      <w:r>
        <w:t xml:space="preserve">Smith, H., &amp; Burrows, R. (2021). Software, sovereignty and the post-neoliberal politics of exit. </w:t>
      </w:r>
      <w:r>
        <w:rPr>
          <w:i/>
          <w:iCs/>
        </w:rPr>
        <w:t>Theory, Culture &amp; Society, 38</w:t>
      </w:r>
      <w:r>
        <w:t xml:space="preserve">(6), 143–166. </w:t>
      </w:r>
      <w:hyperlink r:id="rId45" w:history="1">
        <w:r>
          <w:rPr>
            <w:color w:val="0000EE"/>
            <w:u w:val="single" w:color="0000EE"/>
          </w:rPr>
          <w:t>https://doi.org/10.1177/0263276421999439</w:t>
        </w:r>
      </w:hyperlink>
    </w:p>
    <w:p>
      <w:pPr>
        <w:spacing w:before="120" w:after="120"/>
        <w:jc w:val="left"/>
      </w:pPr>
      <w:r>
        <w:t xml:space="preserve">Spreitzer, G. M. (1995). Psychological empowerment in the workplace: Dimensions, measurement, and validation. </w:t>
      </w:r>
      <w:r>
        <w:rPr>
          <w:i/>
          <w:iCs/>
        </w:rPr>
        <w:t>Academy of Management Journal, 38</w:t>
      </w:r>
      <w:r>
        <w:t xml:space="preserve">(5), 1442–1465. </w:t>
      </w:r>
      <w:hyperlink r:id="rId46" w:history="1">
        <w:r>
          <w:rPr>
            <w:color w:val="0000EE"/>
            <w:u w:val="single" w:color="0000EE"/>
          </w:rPr>
          <w:t>https://doi.org/10.5465/256865</w:t>
        </w:r>
      </w:hyperlink>
    </w:p>
    <w:p>
      <w:pPr>
        <w:spacing w:before="120" w:after="120"/>
        <w:jc w:val="left"/>
      </w:pPr>
      <w:r>
        <w:t xml:space="preserve">Stark, D., &amp; Vanden Broeck, P. (2024). Principles of algorithmic management. </w:t>
      </w:r>
      <w:r>
        <w:rPr>
          <w:i/>
          <w:iCs/>
        </w:rPr>
        <w:t>Organization Theory, 5</w:t>
      </w:r>
      <w:r>
        <w:t xml:space="preserve">(2), 1–24. </w:t>
      </w:r>
      <w:hyperlink r:id="rId47" w:history="1">
        <w:r>
          <w:rPr>
            <w:color w:val="0000EE"/>
            <w:u w:val="single" w:color="0000EE"/>
          </w:rPr>
          <w:t>https://doi.org/10.1177/26317877241257213</w:t>
        </w:r>
      </w:hyperlink>
    </w:p>
    <w:p>
      <w:pPr>
        <w:spacing w:before="120" w:after="120"/>
        <w:jc w:val="left"/>
      </w:pPr>
      <w:r>
        <w:t xml:space="preserve">Street, B. V. (1984). </w:t>
      </w:r>
      <w:r>
        <w:rPr>
          <w:i/>
          <w:iCs/>
        </w:rPr>
        <w:t>Literacy in theory and practice</w:t>
      </w:r>
      <w:r>
        <w:t>. Cambridge University Press.</w:t>
      </w:r>
    </w:p>
    <w:p>
      <w:pPr>
        <w:spacing w:before="120" w:after="120"/>
        <w:jc w:val="left"/>
      </w:pPr>
      <w:r>
        <w:t xml:space="preserve">Thompson, G. F. (2003). </w:t>
      </w:r>
      <w:r>
        <w:rPr>
          <w:i/>
          <w:iCs/>
        </w:rPr>
        <w:t>Between hierarchies and markets: The logic and limits of network forms of organization</w:t>
      </w:r>
      <w:r>
        <w:t>. Oxford University Press.</w:t>
      </w:r>
    </w:p>
    <w:p>
      <w:pPr>
        <w:spacing w:before="120" w:after="120"/>
        <w:jc w:val="left"/>
      </w:pPr>
      <w:r>
        <w:t xml:space="preserve">Vallas, S., &amp; Schor, J. B. (2020). What do platforms do? Understanding the gig economy. </w:t>
      </w:r>
      <w:r>
        <w:rPr>
          <w:i/>
          <w:iCs/>
        </w:rPr>
        <w:t>Annual Review of Sociology, 46</w:t>
      </w:r>
      <w:r>
        <w:t xml:space="preserve">, 273–294. </w:t>
      </w:r>
      <w:hyperlink r:id="rId48" w:history="1">
        <w:r>
          <w:rPr>
            <w:color w:val="0000EE"/>
            <w:u w:val="single" w:color="0000EE"/>
          </w:rPr>
          <w:t>https://doi.org/10.1146/annurev-soc-121919-054857</w:t>
        </w:r>
      </w:hyperlink>
    </w:p>
    <w:p>
      <w:pPr>
        <w:spacing w:before="120" w:after="120"/>
        <w:jc w:val="left"/>
      </w:pPr>
      <w:r>
        <w:t xml:space="preserve">Williamson, O. E. (1975). </w:t>
      </w:r>
      <w:r>
        <w:rPr>
          <w:i/>
          <w:iCs/>
        </w:rPr>
        <w:t>Markets and hierarchies: Analysis and antitrust implications</w:t>
      </w:r>
      <w:r>
        <w:t>. Free Press.</w:t>
      </w:r>
    </w:p>
    <w:p>
      <w:pPr>
        <w:spacing w:before="120" w:after="120"/>
        <w:jc w:val="left"/>
      </w:pPr>
      <w:r>
        <w:t xml:space="preserve">Wood, A. J., Graham, M., Lehdonvirta, V., &amp; Hjorth, I. (2019). Good gig, bad gig: Autonomy and algorithmic control in the global gig economy. </w:t>
      </w:r>
      <w:r>
        <w:rPr>
          <w:i/>
          <w:iCs/>
        </w:rPr>
        <w:t>Work, Employment and Society, 33</w:t>
      </w:r>
      <w:r>
        <w:t xml:space="preserve">(1), 56–75. </w:t>
      </w:r>
      <w:hyperlink r:id="rId49" w:history="1">
        <w:r>
          <w:rPr>
            <w:color w:val="0000EE"/>
            <w:u w:val="single" w:color="0000EE"/>
          </w:rPr>
          <w:t>https://doi.org/10.1177/0950017018785616</w:t>
        </w:r>
      </w:hyperlink>
    </w:p>
    <w:p>
      <w:pPr>
        <w:spacing w:before="120" w:after="120"/>
        <w:jc w:val="left"/>
      </w:pPr>
      <w:r>
        <w:t xml:space="preserve">Zuboff, S. (2019). </w:t>
      </w:r>
      <w:r>
        <w:rPr>
          <w:i/>
          <w:iCs/>
        </w:rPr>
        <w:t>The age of surveillance capitalism: The fight for a human future at the new frontier of power</w:t>
      </w:r>
      <w:r>
        <w:t>. PublicAffairs.</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Additional Reading</w:t>
      </w:r>
    </w:p>
    <w:p>
      <w:pPr>
        <w:spacing w:before="120" w:after="120"/>
        <w:jc w:val="left"/>
      </w:pPr>
      <w:r>
        <w:t xml:space="preserve">Benkler, Y. (2006). </w:t>
      </w:r>
      <w:r>
        <w:rPr>
          <w:i/>
          <w:iCs/>
        </w:rPr>
        <w:t>The wealth of networks: How social production transforms markets and freedom</w:t>
      </w:r>
      <w:r>
        <w:t>. Yale University Press.</w:t>
      </w:r>
    </w:p>
    <w:p>
      <w:pPr>
        <w:spacing w:before="120" w:after="120"/>
        <w:jc w:val="left"/>
      </w:pPr>
      <w:r>
        <w:t xml:space="preserve">Bratton, B. H. (2015). </w:t>
      </w:r>
      <w:r>
        <w:rPr>
          <w:i/>
          <w:iCs/>
        </w:rPr>
        <w:t>The stack: On software and sovereignty</w:t>
      </w:r>
      <w:r>
        <w:t>. MIT Press.</w:t>
      </w:r>
    </w:p>
    <w:p>
      <w:pPr>
        <w:spacing w:before="120" w:after="120"/>
        <w:jc w:val="left"/>
      </w:pPr>
      <w:r>
        <w:t xml:space="preserve">Couldry, N., &amp; Mejias, U. A. (2019). </w:t>
      </w:r>
      <w:r>
        <w:rPr>
          <w:i/>
          <w:iCs/>
        </w:rPr>
        <w:t>The costs of connection: How data is colonizing human life and appropriating it for capitalism</w:t>
      </w:r>
      <w:r>
        <w:t>. Stanford University Press.</w:t>
      </w:r>
    </w:p>
    <w:p>
      <w:pPr>
        <w:spacing w:before="120" w:after="120"/>
        <w:jc w:val="left"/>
      </w:pPr>
      <w:r>
        <w:t xml:space="preserve">Crawford, K. (2021). </w:t>
      </w:r>
      <w:r>
        <w:rPr>
          <w:i/>
          <w:iCs/>
        </w:rPr>
        <w:t>Atlas of AI: Power, politics, and the planetary costs of artificial intelligence</w:t>
      </w:r>
      <w:r>
        <w:t>. Yale University Press.</w:t>
      </w:r>
    </w:p>
    <w:p>
      <w:pPr>
        <w:spacing w:before="120" w:after="120"/>
        <w:jc w:val="left"/>
      </w:pPr>
      <w:r>
        <w:t xml:space="preserve">Gillespie, T. (2018). </w:t>
      </w:r>
      <w:r>
        <w:rPr>
          <w:i/>
          <w:iCs/>
        </w:rPr>
        <w:t>Custodians of the Internet: Platforms, content moderation, and the hidden decisions that shape social media</w:t>
      </w:r>
      <w:r>
        <w:t>. Yale University Press.</w:t>
      </w:r>
    </w:p>
    <w:p>
      <w:pPr>
        <w:spacing w:before="120" w:after="120"/>
        <w:jc w:val="left"/>
      </w:pPr>
      <w:r>
        <w:t xml:space="preserve">Pasquale, F. (2015). </w:t>
      </w:r>
      <w:r>
        <w:rPr>
          <w:i/>
          <w:iCs/>
        </w:rPr>
        <w:t>The black box society: The secret algorithms that control money and information</w:t>
      </w:r>
      <w:r>
        <w:t>. Harvard University Press.</w:t>
      </w:r>
    </w:p>
    <w:p>
      <w:pPr>
        <w:spacing w:before="120" w:after="120"/>
        <w:jc w:val="left"/>
      </w:pPr>
      <w:r>
        <w:t xml:space="preserve">Srnicek, N. (2017). </w:t>
      </w:r>
      <w:r>
        <w:rPr>
          <w:i/>
          <w:iCs/>
        </w:rPr>
        <w:t>Platform capitalism</w:t>
      </w:r>
      <w:r>
        <w:t>. Polity Press.</w:t>
      </w:r>
    </w:p>
    <w:p>
      <w:pPr>
        <w:spacing w:before="120" w:after="120"/>
        <w:jc w:val="left"/>
      </w:pPr>
      <w:r>
        <w:t xml:space="preserve">van Dijck, J., Poell, T., &amp; de Waal, M. (2018). </w:t>
      </w:r>
      <w:r>
        <w:rPr>
          <w:i/>
          <w:iCs/>
        </w:rPr>
        <w:t>The platform society: Public values in a connective world</w:t>
      </w:r>
      <w:r>
        <w:t>. Oxford University Press.</w:t>
      </w:r>
    </w:p>
    <w:p>
      <w:pPr>
        <w:pStyle w:val="Heading2"/>
        <w:keepNext w:val="0"/>
        <w:keepLines w:val="0"/>
        <w:spacing w:before="360" w:after="180"/>
        <w:jc w:val="left"/>
        <w:rPr>
          <w:b/>
          <w:bCs/>
          <w:sz w:val="36"/>
          <w:szCs w:val="36"/>
        </w:rPr>
      </w:pPr>
      <w:r>
        <w:rPr>
          <w:rFonts w:ascii="Times New Roman" w:eastAsia="Times New Roman" w:hAnsi="Times New Roman" w:cs="Times New Roman"/>
          <w:b w:val="0"/>
          <w:bCs w:val="0"/>
          <w:i w:val="0"/>
          <w:color w:val="auto"/>
        </w:rPr>
        <w:t>Key Terms and Definitions</w:t>
      </w:r>
    </w:p>
    <w:p>
      <w:pPr>
        <w:spacing w:before="120" w:after="120"/>
        <w:jc w:val="left"/>
      </w:pPr>
      <w:r>
        <w:rPr>
          <w:b/>
          <w:bCs/>
        </w:rPr>
        <w:t>Digital sovereignty:</w:t>
      </w:r>
      <w:r>
        <w:t xml:space="preserve"> The capacity of a state, organization, or community to exercise control over its digital infrastructure, data, and technologies. In this chapter, it is treated as a literacy-based form of governance, attained by reading and holding to account what a digital system discloses.</w:t>
      </w:r>
    </w:p>
    <w:p>
      <w:pPr>
        <w:spacing w:before="120" w:after="120"/>
        <w:jc w:val="left"/>
      </w:pPr>
      <w:r>
        <w:rPr>
          <w:b/>
          <w:bCs/>
        </w:rPr>
        <w:t>Coordinative sovereignty:</w:t>
      </w:r>
      <w:r>
        <w:t xml:space="preserve"> The autonomy proper to being irreducibly coordinated. It is the standing to shape the terms on which one is mediated, to contest the mediator’s arbitrary power, and to hold a share in the governance of an arrangement one cannot leave. Its currency is effective voice.</w:t>
      </w:r>
    </w:p>
    <w:p>
      <w:pPr>
        <w:spacing w:before="120" w:after="120"/>
        <w:jc w:val="left"/>
      </w:pPr>
      <w:r>
        <w:rPr>
          <w:b/>
          <w:bCs/>
        </w:rPr>
        <w:t>Algorithmacy:</w:t>
      </w:r>
      <w:r>
        <w:t xml:space="preserve"> The integrated competence through which an actor coordinates with another party through an algorithmic third party that interprets both sides and commits determinations neither controls. It has three parts: inferential (modeling an unseen system), translational (acting in the system’s terms), and temporal (holding a strategy through undisclosed change).</w:t>
      </w:r>
    </w:p>
    <w:p>
      <w:pPr>
        <w:spacing w:before="120" w:after="120"/>
        <w:jc w:val="left"/>
      </w:pPr>
      <w:r>
        <w:rPr>
          <w:b/>
          <w:bCs/>
        </w:rPr>
        <w:t>Communicative sensibility:</w:t>
      </w:r>
      <w:r>
        <w:t xml:space="preserve"> A competence for handling the medium through which authority is exercised and contested. Oracy, literacy, and algorithmacy are the three the chapter tracks, each paired with a form of sovereignty.</w:t>
      </w:r>
    </w:p>
    <w:p>
      <w:pPr>
        <w:spacing w:before="120" w:after="120"/>
        <w:jc w:val="left"/>
      </w:pPr>
      <w:r>
        <w:rPr>
          <w:b/>
          <w:bCs/>
        </w:rPr>
        <w:t>Mediated triad:</w:t>
      </w:r>
      <w:r>
        <w:t xml:space="preserve"> A coordination in which two parties are bound together through a third party that interprets both and commits outcomes neither controls, rather than dealing with each other directly.</w:t>
      </w:r>
    </w:p>
    <w:p>
      <w:pPr>
        <w:spacing w:before="120" w:after="120"/>
        <w:jc w:val="left"/>
      </w:pPr>
      <w:r>
        <w:rPr>
          <w:b/>
          <w:bCs/>
        </w:rPr>
        <w:t>Co-optation:</w:t>
      </w:r>
      <w:r>
        <w:t xml:space="preserve"> Enrollment of an actor into a coordination authored by an interested third party, without the delegated authority of a hierarchy or the negotiated terms of a contract; the platform form is a harder variant of the organizational co-optation Selznick named, conferring no seat and no share.</w:t>
      </w:r>
    </w:p>
    <w:p>
      <w:pPr>
        <w:spacing w:before="120" w:after="120"/>
        <w:jc w:val="left"/>
      </w:pPr>
      <w:r>
        <w:rPr>
          <w:b/>
          <w:bCs/>
        </w:rPr>
        <w:t>Necessary mediator:</w:t>
      </w:r>
      <w:r>
        <w:t xml:space="preserve"> A mediator that remains constitutive of a coordination even when a direct tie between the parties it stands between is restored, because its position rests on integrating work the direct tie cannot reproduce. It cannot be exited, so the coordinated actor’s remaining power is voice.</w:t>
      </w:r>
    </w:p>
    <w:p>
      <w:pPr>
        <w:spacing w:before="120" w:after="120"/>
        <w:jc w:val="left"/>
      </w:pPr>
      <w:r>
        <w:rPr>
          <w:b/>
          <w:bCs/>
        </w:rPr>
        <w:t>Contingent mediator:</w:t>
      </w:r>
      <w:r>
        <w:t xml:space="preserve"> A mediator that ceases to bind when a direct tie between the parties is restored, because its position rested on the absence of that tie, usually held in place by an external constraint such as a law or a lock-in. It can be exited, so the actor’s remaining power includes exit.</w:t>
      </w:r>
    </w:p>
    <w:p>
      <w:pPr>
        <w:spacing w:before="120" w:after="120"/>
        <w:jc w:val="left"/>
      </w:pPr>
      <w:r>
        <w:rPr>
          <w:b/>
          <w:bCs/>
        </w:rPr>
        <w:t>Exit and voice:</w:t>
      </w:r>
      <w:r>
        <w:t xml:space="preserve"> Hirschman’s two responses to a declining relationship — leaving it (exit) or staying and pressing for change (voice). In this chapter, exit is available against a contingent mediator, and only voice remains against a necessary one.</w:t>
      </w:r>
    </w:p>
    <w:p>
      <w:pPr>
        <w:spacing w:before="120" w:after="120"/>
        <w:jc w:val="left"/>
      </w:pPr>
      <w:r>
        <w:rPr>
          <w:b/>
          <w:bCs/>
        </w:rPr>
        <w:t>Non-domination:</w:t>
      </w:r>
      <w:r>
        <w:t xml:space="preserve"> The republican conception of freedom as the absence of another’s arbitrary power, rather than the mere absence of interference. A coordinated actor is dominated to the degree the mediator’s power over it is unconstrained by rules the actor can contest.</w:t>
      </w:r>
    </w:p>
    <w:p>
      <w:pPr>
        <w:spacing w:before="120" w:after="120"/>
        <w:jc w:val="left"/>
      </w:pPr>
      <w:r>
        <w:rPr>
          <w:b/>
          <w:bCs/>
        </w:rPr>
        <w:t>Irreducibility:</w:t>
      </w:r>
      <w:r>
        <w:t xml:space="preserve"> The property of a coordination that does not factor into separable parts. A triadic coordination binds its parties into a joint determination; no division into parts recovers and demands algorithmacy. A dyadic coordination comes apart and is governed by literacy.</w:t>
      </w:r>
    </w:p>
    <w:sectPr>
      <w:pgMar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yperlink" Target="https://doi.org/10.1080/1369118X.2024.2332624" TargetMode="External" /><Relationship Id="rId11" Type="http://schemas.openxmlformats.org/officeDocument/2006/relationships/hyperlink" Target="https://doi.org/10.1177/1350508420961531" TargetMode="External" /><Relationship Id="rId12" Type="http://schemas.openxmlformats.org/officeDocument/2006/relationships/hyperlink" Target="https://doi.org/10.1177/2053951715622512" TargetMode="External" /><Relationship Id="rId13" Type="http://schemas.openxmlformats.org/officeDocument/2006/relationships/hyperlink" Target="https://doi.org/10.1086/421787" TargetMode="External" /><Relationship Id="rId14" Type="http://schemas.openxmlformats.org/officeDocument/2006/relationships/hyperlink" Target="https://doi.org/10.1177/1461444819865984" TargetMode="External" /><Relationship Id="rId15" Type="http://schemas.openxmlformats.org/officeDocument/2006/relationships/hyperlink" Target="https://doi.org/10.5465/amp.2019.0103" TargetMode="External" /><Relationship Id="rId16" Type="http://schemas.openxmlformats.org/officeDocument/2006/relationships/hyperlink" Target="https://doi.org/10.1111/1748-8583.12587" TargetMode="External" /><Relationship Id="rId17" Type="http://schemas.openxmlformats.org/officeDocument/2006/relationships/hyperlink" Target="https://doi.org/10.1093/idpl/ipz014" TargetMode="External" /><Relationship Id="rId18" Type="http://schemas.openxmlformats.org/officeDocument/2006/relationships/hyperlink" Target="https://doi.org/10.1145/3476080" TargetMode="External" /><Relationship Id="rId19" Type="http://schemas.openxmlformats.org/officeDocument/2006/relationships/hyperlink" Target="https://doi.org/10.1080/19312458.2021.1968361" TargetMode="External" /><Relationship Id="rId2" Type="http://schemas.openxmlformats.org/officeDocument/2006/relationships/webSettings" Target="webSettings.xml" /><Relationship Id="rId20" Type="http://schemas.openxmlformats.org/officeDocument/2006/relationships/hyperlink" Target="https://doi.org/10.1145/2858036.2858494" TargetMode="External" /><Relationship Id="rId21" Type="http://schemas.openxmlformats.org/officeDocument/2006/relationships/hyperlink" Target="http://data.europa.eu/eli/dir/2024/2831/oj" TargetMode="External" /><Relationship Id="rId22" Type="http://schemas.openxmlformats.org/officeDocument/2006/relationships/hyperlink" Target="https://doi.org/10.1007/s13347-020-00423-6" TargetMode="External" /><Relationship Id="rId23" Type="http://schemas.openxmlformats.org/officeDocument/2006/relationships/hyperlink" Target="https://doi.org/10.1007/s44206-024-00146-7" TargetMode="External" /><Relationship Id="rId24" Type="http://schemas.openxmlformats.org/officeDocument/2006/relationships/hyperlink" Target="https://doi.org/10.1177/1476127015624274" TargetMode="External" /><Relationship Id="rId25" Type="http://schemas.openxmlformats.org/officeDocument/2006/relationships/hyperlink" Target="https://doi.org/10.1177/2053951720982012" TargetMode="External" /><Relationship Id="rId26" Type="http://schemas.openxmlformats.org/officeDocument/2006/relationships/hyperlink" Target="https://doi.org/10.5465/annals.2018.0174" TargetMode="External" /><Relationship Id="rId27" Type="http://schemas.openxmlformats.org/officeDocument/2006/relationships/hyperlink" Target="https://doi.org/10.1177/0003122420979980" TargetMode="External" /><Relationship Id="rId28" Type="http://schemas.openxmlformats.org/officeDocument/2006/relationships/hyperlink" Target="https://doi.org/10.1177/0090591707310084" TargetMode="External" /><Relationship Id="rId29" Type="http://schemas.openxmlformats.org/officeDocument/2006/relationships/hyperlink" Target="https://doi.org/10.1177/2053951720948087" TargetMode="External" /><Relationship Id="rId3" Type="http://schemas.openxmlformats.org/officeDocument/2006/relationships/fontTable" Target="fontTable.xml" /><Relationship Id="rId30" Type="http://schemas.openxmlformats.org/officeDocument/2006/relationships/hyperlink" Target="https://doi.org/10.17705/1jais.00774" TargetMode="External" /><Relationship Id="rId31" Type="http://schemas.openxmlformats.org/officeDocument/2006/relationships/hyperlink" Target="https://doi.org/10.1177/14748851221082078" TargetMode="External" /><Relationship Id="rId32" Type="http://schemas.openxmlformats.org/officeDocument/2006/relationships/hyperlink" Target="https://doi.org/10.1080/14649880600815974" TargetMode="External" /><Relationship Id="rId33" Type="http://schemas.openxmlformats.org/officeDocument/2006/relationships/hyperlink" Target="https://doi.org/10.2189/asqu.2005.50.1.100" TargetMode="External" /><Relationship Id="rId34" Type="http://schemas.openxmlformats.org/officeDocument/2006/relationships/hyperlink" Target="https://doi.org/10.1177/1461444818799523" TargetMode="External" /><Relationship Id="rId35" Type="http://schemas.openxmlformats.org/officeDocument/2006/relationships/hyperlink" Target="https://doi.org/10.1093/oso/9780197582794.003.0002" TargetMode="External" /><Relationship Id="rId36" Type="http://schemas.openxmlformats.org/officeDocument/2006/relationships/hyperlink" Target="https://doi.org/10.14763/2020.4.1532" TargetMode="External" /><Relationship Id="rId37" Type="http://schemas.openxmlformats.org/officeDocument/2006/relationships/hyperlink" Target="https://doi.org/10.1177/00018392211010118" TargetMode="External" /><Relationship Id="rId38" Type="http://schemas.openxmlformats.org/officeDocument/2006/relationships/hyperlink" Target="https://doi.org/10.5465/annals.2022.0090" TargetMode="External" /><Relationship Id="rId39" Type="http://schemas.openxmlformats.org/officeDocument/2006/relationships/hyperlink" Target="https://doi.org/10.1002/poi3.70011" TargetMode="External" /><Relationship Id="rId4" Type="http://schemas.openxmlformats.org/officeDocument/2006/relationships/hyperlink" Target="https://doi.org/10.1287/orsc.12.2.215.10117" TargetMode="External" /><Relationship Id="rId40" Type="http://schemas.openxmlformats.org/officeDocument/2006/relationships/hyperlink" Target="https://doi.org/10.14763/2021.3.1575" TargetMode="External" /><Relationship Id="rId41" Type="http://schemas.openxmlformats.org/officeDocument/2006/relationships/hyperlink" Target="https://doi.org/10.1002/hrm.70019" TargetMode="External" /><Relationship Id="rId42" Type="http://schemas.openxmlformats.org/officeDocument/2006/relationships/hyperlink" Target="https://doi.org/10.1162/154247603322493212" TargetMode="External" /><Relationship Id="rId43" Type="http://schemas.openxmlformats.org/officeDocument/2006/relationships/hyperlink" Target="https://doi.org/10.14763/2020.2.1479" TargetMode="External" /><Relationship Id="rId44" Type="http://schemas.openxmlformats.org/officeDocument/2006/relationships/hyperlink" Target="https://doi.org/10.1007/978-3-031-69994-8" TargetMode="External" /><Relationship Id="rId45" Type="http://schemas.openxmlformats.org/officeDocument/2006/relationships/hyperlink" Target="https://doi.org/10.1177/0263276421999439" TargetMode="External" /><Relationship Id="rId46" Type="http://schemas.openxmlformats.org/officeDocument/2006/relationships/hyperlink" Target="https://doi.org/10.5465/256865" TargetMode="External" /><Relationship Id="rId47" Type="http://schemas.openxmlformats.org/officeDocument/2006/relationships/hyperlink" Target="https://doi.org/10.1177/26317877241257213" TargetMode="External" /><Relationship Id="rId48" Type="http://schemas.openxmlformats.org/officeDocument/2006/relationships/hyperlink" Target="https://doi.org/10.1146/annurev-soc-121919-054857" TargetMode="External" /><Relationship Id="rId49" Type="http://schemas.openxmlformats.org/officeDocument/2006/relationships/hyperlink" Target="https://doi.org/10.1177/0950017018785616" TargetMode="External" /><Relationship Id="rId5" Type="http://schemas.openxmlformats.org/officeDocument/2006/relationships/hyperlink" Target="https://doi.org/10.1007/s11023-022-09611-z" TargetMode="External" /><Relationship Id="rId50" Type="http://schemas.openxmlformats.org/officeDocument/2006/relationships/theme" Target="theme/theme1.xml" /><Relationship Id="rId51" Type="http://schemas.openxmlformats.org/officeDocument/2006/relationships/styles" Target="styles.xml" /><Relationship Id="rId6" Type="http://schemas.openxmlformats.org/officeDocument/2006/relationships/hyperlink" Target="https://doi.org/10.1177/1461444816676645" TargetMode="External" /><Relationship Id="rId7" Type="http://schemas.openxmlformats.org/officeDocument/2006/relationships/hyperlink" Target="https://doi.org/10.1007/s00199-006-0114-6" TargetMode="External" /><Relationship Id="rId8" Type="http://schemas.openxmlformats.org/officeDocument/2006/relationships/hyperlink" Target="https://doi.org/10.1177/14614448221077284" TargetMode="External" /><Relationship Id="rId9" Type="http://schemas.openxmlformats.org/officeDocument/2006/relationships/hyperlink" Target="https://doi.org/10.1093/oso/9780190088583.001.0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Full Paper - Alg &amp; Sov</dc:title>
  <cp:revision>0</cp:revision>
</cp:coreProperties>
</file>