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71df3dbcaf5311d04b8d281a81a828193769ba"/>
    <w:p>
      <w:pPr>
        <w:pStyle w:val="Heading1"/>
      </w:pPr>
      <w:r>
        <w:t xml:space="preserve">Algorithmacy and Sovereignty: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Although a firm can comply with every instrument of Europe’s digital regulation and take the disclosures</w:t>
      </w:r>
      <w:r>
        <w:t xml:space="preserve"> </w:t>
      </w:r>
      <w:r>
        <w:t xml:space="preserve">and complaint channels it supplies, it can still lack standing over the determinations that set its market</w:t>
      </w:r>
      <w:r>
        <w:t xml:space="preserve"> </w:t>
      </w:r>
      <w:r>
        <w:t xml:space="preserve">position. Sovereignty has always required a competence equal to the medium through which power runs —</w:t>
      </w:r>
      <w:r>
        <w:t xml:space="preserve"> </w:t>
      </w:r>
      <w:r>
        <w:t xml:space="preserve">speech in oral orders, writing in the literate state, a literacy of code and data in the digital one — yet</w:t>
      </w:r>
      <w:r>
        <w:t xml:space="preserve"> </w:t>
      </w:r>
      <w:r>
        <w:t xml:space="preserve">platform coordination runs through an algorithmic third party that reads both and commits outcomes neither</w:t>
      </w:r>
      <w:r>
        <w:t xml:space="preserve"> </w:t>
      </w:r>
      <w:r>
        <w:t xml:space="preserve">controls, which no prior competence reaches. Governing that coordination takes algorithmacy, those</w:t>
      </w:r>
      <w:r>
        <w:t xml:space="preserve"> </w:t>
      </w:r>
      <w:r>
        <w:t xml:space="preserve">capacities indexed to the triad, and a different sovereignty: coordinative sovereignty, the standing to</w:t>
      </w:r>
      <w:r>
        <w:t xml:space="preserve"> </w:t>
      </w:r>
      <w:r>
        <w:t xml:space="preserve">shape one’s terms of mediation, to contest the mediator’s arbitrary power, and to share in governing what</w:t>
      </w:r>
      <w:r>
        <w:t xml:space="preserve"> </w:t>
      </w:r>
      <w:r>
        <w:t xml:space="preserve">the open tie does not dissolve. A counterfactual then sorts mediators an actor can leave from those it can</w:t>
      </w:r>
      <w:r>
        <w:t xml:space="preserve"> </w:t>
      </w:r>
      <w:r>
        <w:t xml:space="preserve">only govern, and names the 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 —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 — and together these instruments give European</w:t>
      </w:r>
      <w:r>
        <w:t xml:space="preserve"> </w:t>
      </w:r>
      <w:r>
        <w:t xml:space="preserve">actors a degree of control over data, infrastructure, and code that no other jurisdiction matches</w:t>
      </w:r>
      <w:r>
        <w:t xml:space="preserve"> </w:t>
      </w:r>
      <w:r>
        <w:t xml:space="preserve">(Bradford, 2023; Floridi, 2020; Fratini et al., 2024).</w:t>
      </w:r>
    </w:p>
    <w:p>
      <w:pPr>
        <w:pStyle w:val="BodyText"/>
      </w:pPr>
      <w:r>
        <w:t xml:space="preserve">Yet a firm can satisfy every one of these requirements and remain strategically helpless: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decisions, and although it can read the store’s</w:t>
      </w:r>
      <w:r>
        <w:t xml:space="preserve"> </w:t>
      </w:r>
      <w:r>
        <w:t xml:space="preserve">published ranking parameters and file a complaint about an outcome, it can neither predict those decisions</w:t>
      </w:r>
      <w:r>
        <w:t xml:space="preserve"> </w:t>
      </w:r>
      <w:r>
        <w:t xml:space="preserve">nor govern them. Disclosure duties and complaint channels now reach parts of that layer, as section 3.2</w:t>
      </w:r>
      <w:r>
        <w:t xml:space="preserve"> </w:t>
      </w:r>
      <w:r>
        <w:t xml:space="preserve">takes them up, and they still leave the merchant whose listings disappear, and the creator whose audience</w:t>
      </w:r>
      <w:r>
        <w:t xml:space="preserve"> </w:t>
      </w:r>
      <w:r>
        <w:t xml:space="preserve">vanishes in a recommendation change announced nowhere, without standing over the determination that decided</w:t>
      </w:r>
      <w:r>
        <w:t xml:space="preserve"> </w:t>
      </w:r>
      <w:r>
        <w:t xml:space="preserve">the outcome. Compliance therefore governs how these actors handle data, while their market positions are</w:t>
      </w:r>
      <w:r>
        <w:t xml:space="preserve"> </w:t>
      </w:r>
      <w:r>
        <w:t xml:space="preserve">decided somewhere else, inside the algorithmic systems through which the platform chooses what to surface</w:t>
      </w:r>
      <w:r>
        <w:t xml:space="preserve"> </w:t>
      </w:r>
      <w:r>
        <w:t xml:space="preserve">and what to bury (Cutolo &amp; Kenney, 2021; Rahman, 2021; Rahman et al., 2024).</w:t>
      </w:r>
    </w:p>
    <w:p>
      <w:pPr>
        <w:pStyle w:val="BodyText"/>
      </w:pPr>
      <w:r>
        <w:t xml:space="preserve">Behind the gap lies a pattern older than the platforms: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state, where private persons</w:t>
      </w:r>
      <w:r>
        <w:t xml:space="preserve"> </w:t>
      </w:r>
      <w:r>
        <w:t xml:space="preserve">reasoning together in print constituted a sphere in which public power could be called to answer, and the</w:t>
      </w:r>
      <w:r>
        <w:t xml:space="preserve"> </w:t>
      </w:r>
      <w:r>
        <w:t xml:space="preserve">reasoning was a practiced skill before it was a political fact; digital sovereignty extends that logic to</w:t>
      </w:r>
      <w:r>
        <w:t xml:space="preserve"> </w:t>
      </w:r>
      <w:r>
        <w:t xml:space="preserve">new 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cover, because a worker, a seller, or</w:t>
      </w:r>
      <w:r>
        <w:t xml:space="preserve"> </w:t>
      </w:r>
      <w:r>
        <w:t xml:space="preserve">a creator does not stand on one side of a medium and read it: each is coordinating with a counterpart it</w:t>
      </w:r>
      <w:r>
        <w:t xml:space="preserve"> </w:t>
      </w:r>
      <w:r>
        <w:t xml:space="preserve">will 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it, and what sets the situation apart is a question about the coordination’s rules. Restore the direct tie</w:t>
      </w:r>
      <w:r>
        <w:t xml:space="preserve"> </w:t>
      </w:r>
      <w:r>
        <w:t xml:space="preserve">between the two parties the mediator stands between, the tie that strict mediation forbids, and ask what</w:t>
      </w:r>
      <w:r>
        <w:t xml:space="preserve"> </w:t>
      </w:r>
      <w:r>
        <w:t xml:space="preserve">the mediator still does: whereas some mediators lose their grip entirely, others lose nothing, and that</w:t>
      </w:r>
      <w:r>
        <w:t xml:space="preserve"> </w:t>
      </w:r>
      <w:r>
        <w:t xml:space="preserve">single difference decides whether an actor’s remaining power is the power to leave or the power to be</w:t>
      </w:r>
      <w:r>
        <w:t xml:space="preserve"> </w:t>
      </w:r>
      <w:r>
        <w:t xml:space="preserve">heard.</w:t>
      </w:r>
    </w:p>
    <w:p>
      <w:pPr>
        <w:pStyle w:val="BodyText"/>
      </w:pPr>
      <w:r>
        <w:t xml:space="preserve">Where the mediator cannot be left, demanding independence is worse than futile, because it spends the</w:t>
      </w:r>
      <w:r>
        <w:t xml:space="preserve"> </w:t>
      </w:r>
      <w:r>
        <w:t xml:space="preserve">actor’s leverage on a bypass that does not exist and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autonomy;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sovereignty, understood as standing within a necessary mediation: the power</w:t>
      </w:r>
      <w:r>
        <w:t xml:space="preserve"> </w:t>
      </w:r>
      <w:r>
        <w:t xml:space="preserve">to shape the terms on which one is mediated, to contest the mediator’s arbitrary power, and to hold a share</w:t>
      </w:r>
      <w:r>
        <w:t xml:space="preserve"> </w:t>
      </w:r>
      <w:r>
        <w:t xml:space="preserve">in the governance of an arrangement the open tie does not dissolve. Whereas digital sovereignty asks who</w:t>
      </w:r>
      <w:r>
        <w:t xml:space="preserve"> </w:t>
      </w:r>
      <w:r>
        <w:t xml:space="preserve">controls the infrastructure, coordinative sovereignty asks what autonomy remains for the actor coordinating</w:t>
      </w:r>
      <w:r>
        <w:t xml:space="preserve"> </w:t>
      </w:r>
      <w:r>
        <w:t xml:space="preserve">through it, and the two vary independently.</w:t>
      </w:r>
    </w:p>
    <w:p>
      <w:pPr>
        <w:pStyle w:val="BodyText"/>
      </w:pPr>
      <w:r>
        <w:t xml:space="preserve">Bodin made sovereignty supreme, perpetual, and indivisible (Bodin, 1576/1992), so a standing that is</w:t>
      </w:r>
      <w:r>
        <w:t xml:space="preserve"> </w:t>
      </w:r>
      <w:r>
        <w:t xml:space="preserve">shared, partial, and exercised by complaint can look like a misuse of the term; yet the democratic</w:t>
      </w:r>
      <w:r>
        <w:t xml:space="preserve"> </w:t>
      </w:r>
      <w:r>
        <w:t xml:space="preserve">tradition dissolved that difficulty long ago, and Habermas (1996) describes popular sovereignty as</w:t>
      </w:r>
      <w:r>
        <w:t xml:space="preserve"> </w:t>
      </w:r>
      <w:r>
        <w:t xml:space="preserve">desubstantialized, no longer seated in a person or an assembly at all:</w:t>
      </w:r>
      <w:r>
        <w:t xml:space="preserve"> </w:t>
      </w:r>
      <w:r>
        <w:t xml:space="preserve">“sovereignty is found in those</w:t>
      </w:r>
      <w:r>
        <w:t xml:space="preserve"> </w:t>
      </w:r>
      <w:r>
        <w:t xml:space="preserve">subjectless forms of communication”</w:t>
      </w:r>
      <w:r>
        <w:t xml:space="preserve"> </w:t>
      </w:r>
      <w:r>
        <w:t xml:space="preserve">(pp. 486–487). The term in that sense names the standing to hold power</w:t>
      </w:r>
      <w:r>
        <w:t xml:space="preserve"> </w:t>
      </w:r>
      <w:r>
        <w:t xml:space="preserve">to account through the medium in which power is exercised, which is what a literate public exercises over a</w:t>
      </w:r>
      <w:r>
        <w:t xml:space="preserve"> </w:t>
      </w:r>
      <w:r>
        <w:t xml:space="preserve">state whose writing it can read. Coordinative sovereignty adds two attributes to it, a necessary mediation</w:t>
      </w:r>
      <w:r>
        <w:t xml:space="preserve"> </w:t>
      </w:r>
      <w:r>
        <w:t xml:space="preserve">and a standing carried by voice, and so narrows the term’s extension. Repetto (2025), reviewing 240 works</w:t>
      </w:r>
      <w:r>
        <w:t xml:space="preserve"> </w:t>
      </w:r>
      <w:r>
        <w:t xml:space="preserve">on digital sovereignty, reaches the same conclusion about the family: accounts that recognize multiple</w:t>
      </w:r>
      <w:r>
        <w:t xml:space="preserve"> </w:t>
      </w:r>
      <w:r>
        <w:t xml:space="preserve">coexisting digital sovereigns</w:t>
      </w:r>
      <w:r>
        <w:t xml:space="preserve"> </w:t>
      </w:r>
      <w:r>
        <w:t xml:space="preserve">“neither stretch the concept of sovereignty nor turn digital sovereignty into</w:t>
      </w:r>
      <w:r>
        <w:t xml:space="preserve"> </w:t>
      </w:r>
      <w:r>
        <w:t xml:space="preserve">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 innovate the concept of sovereignty</w:t>
      </w:r>
      <w:r>
        <w:t xml:space="preserve"> </w:t>
      </w:r>
      <w:r>
        <w:t xml:space="preserve">as a whole”</w:t>
      </w:r>
      <w:r>
        <w:t xml:space="preserve"> </w:t>
      </w:r>
      <w:r>
        <w:t xml:space="preserve">(Abstract). What those accounts leave open is who holds the 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contest, whereas a competence held by a</w:t>
      </w:r>
      <w:r>
        <w:t xml:space="preserve"> </w:t>
      </w:r>
      <w:r>
        <w:t xml:space="preserve">few governs an authority the rest merely endure, and under a mediation an actor cannot leave that</w:t>
      </w:r>
      <w:r>
        <w:t xml:space="preserve"> </w:t>
      </w:r>
      <w:r>
        <w:t xml:space="preserve">distribution decides everything, because an actor who cannot leave and cannot contest has nothing left.</w:t>
      </w:r>
      <w:r>
        <w:t xml:space="preserve"> </w:t>
      </w: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authority: law was what the elders could recite,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it, while custom held because people could remember and perform it and legitimacy rested on the</w:t>
      </w:r>
      <w:r>
        <w:t xml:space="preserve"> </w:t>
      </w:r>
      <w:r>
        <w:t xml:space="preserve">capacity to speak and be heard in the right forms. Oracy, as Goody (1977) and Ong (1982) describe it, was</w:t>
      </w:r>
      <w:r>
        <w:t xml:space="preserve"> </w:t>
      </w:r>
      <w:r>
        <w:t xml:space="preserve">the competence that let a member of such an order participate in its authority — give testimony, hold</w:t>
      </w:r>
      <w:r>
        <w:t xml:space="preserve"> </w:t>
      </w:r>
      <w:r>
        <w:t xml:space="preserve">others to their word, carry the customary rules that constituted the group. Everyone in such an order could</w:t>
      </w:r>
      <w:r>
        <w:t xml:space="preserve"> </w:t>
      </w:r>
      <w:r>
        <w:t xml:space="preserve">speak, yet not everyone could speak in the forms that bound: who might address the assembly, swear an oath</w:t>
      </w:r>
      <w:r>
        <w:t xml:space="preserve"> </w:t>
      </w:r>
      <w:r>
        <w:t xml:space="preserve">the community would enforce, or recite the law as law was restricted by age, sex, birth, and office, so</w:t>
      </w:r>
      <w:r>
        <w:t xml:space="preserve"> </w:t>
      </w:r>
      <w:r>
        <w:t xml:space="preserve">the competence was general and the authorized exercise of it was not, which is the difference that decided</w:t>
      </w:r>
      <w:r>
        <w:t xml:space="preserve"> </w:t>
      </w:r>
      <w:r>
        <w:t xml:space="preserve">who could hold power to account. Within its range that sovereignty was real; beyond its range it stopped,</w:t>
      </w:r>
      <w:r>
        <w:t xml:space="preserve"> </w:t>
      </w:r>
      <w:r>
        <w:t xml:space="preserve">and an oral order could not fix its law in a text, check today’s ruling against last year’s, or transmit a</w:t>
      </w:r>
      <w:r>
        <w:t xml:space="preserve"> </w:t>
      </w:r>
      <w:r>
        <w:t xml:space="preserve">rule past the reach of 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terms: a written rule persists while memory drifts, travels without its author, and can</w:t>
      </w:r>
      <w:r>
        <w:t xml:space="preserve"> </w:t>
      </w:r>
      <w:r>
        <w:t xml:space="preserve">be laid beside another writing and compared, and these three properties — persistence, portability, and</w:t>
      </w:r>
      <w:r>
        <w:t xml:space="preserve"> </w:t>
      </w:r>
      <w:r>
        <w:t xml:space="preserve">comparability — made a new scale of coordination possible, and with it a new kind of political authority.</w:t>
      </w:r>
      <w:r>
        <w:t xml:space="preserve"> </w:t>
      </w:r>
      <w:r>
        <w:t xml:space="preserve">Scott (1998) shows the modern state as a creature of the archive, the census, and the code of law, seeing</w:t>
      </w:r>
      <w:r>
        <w:t xml:space="preserve"> </w:t>
      </w:r>
      <w:r>
        <w:t xml:space="preserve">and governing through writing.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history, so those who could write governed those who could</w:t>
      </w:r>
      <w:r>
        <w:t xml:space="preserve"> </w:t>
      </w:r>
      <w:r>
        <w:t xml:space="preserve">not, and the reach of democratic sovereignty tracked the spread of the competence rather than the invention</w:t>
      </w:r>
      <w:r>
        <w:t xml:space="preserve"> </w:t>
      </w:r>
      <w:r>
        <w:t xml:space="preserve">of the medium. Media theory has long paired forms of authority with the media that carry them, from Innis</w:t>
      </w:r>
      <w:r>
        <w:t xml:space="preserve"> </w:t>
      </w:r>
      <w:r>
        <w:t xml:space="preserve">(1951) on how a civilization’s dominant medium biases its form of power to Eisenstein (1979) on the</w:t>
      </w:r>
      <w:r>
        <w:t xml:space="preserve"> </w:t>
      </w:r>
      <w:r>
        <w:t xml:space="preserve">printing press and the authority of church and state; a sovereignty and its competence form together, and</w:t>
      </w:r>
      <w:r>
        <w:t xml:space="preserve"> </w:t>
      </w:r>
      <w:r>
        <w:t xml:space="preserve">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domain:</w:t>
      </w:r>
      <w:r>
        <w:t xml:space="preserve"> </w:t>
      </w:r>
      <w:r>
        <w:t xml:space="preserve">the ability of states, organizations, and communities to exercise control over their digital</w:t>
      </w:r>
      <w:r>
        <w:t xml:space="preserve"> </w:t>
      </w:r>
      <w:r>
        <w:t xml:space="preserve">infrastructures, data, and technologies (Floridi, 2020; Hummel et al., 2021; Pohle &amp; Thiel, 2020). The AI</w:t>
      </w:r>
      <w:r>
        <w:t xml:space="preserve"> </w:t>
      </w:r>
      <w:r>
        <w:t xml:space="preserve">Act classifies systems and imposes documentation and transparency duties, the GDPR establishes data-subject</w:t>
      </w:r>
      <w:r>
        <w:t xml:space="preserve"> </w:t>
      </w:r>
      <w:r>
        <w:t xml:space="preserve">rights exercised through notice, consent, access, and record-keeping, and NIS2 mandates written</w:t>
      </w:r>
      <w:r>
        <w:t xml:space="preserve"> </w:t>
      </w:r>
      <w:r>
        <w:t xml:space="preserve">cybersecurity governance, each a mechanism by which an actor with enough legal, technical, and regulatory</w:t>
      </w:r>
      <w:r>
        <w:t xml:space="preserve"> </w:t>
      </w:r>
      <w:r>
        <w:t xml:space="preserve">literacy can inspect a system, compare it against a standard, and hold its operator to account (Fratini et</w:t>
      </w:r>
      <w:r>
        <w:t xml:space="preserve"> </w:t>
      </w:r>
      <w:r>
        <w:t xml:space="preserve">al., 2024; Schmuntzsch et al., 2025). That strand governs by making the digital object legible and by</w:t>
      </w:r>
      <w:r>
        <w:t xml:space="preserve"> </w:t>
      </w:r>
      <w:r>
        <w:t xml:space="preserve">attaching consequences to what the legible object shows, whereas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The regulatory strand is where the continuity with literacy is</w:t>
      </w:r>
      <w:r>
        <w:t xml:space="preserve"> </w:t>
      </w:r>
      <w:r>
        <w:t xml:space="preserve">tightest.</w:t>
      </w:r>
    </w:p>
    <w:p>
      <w:pPr>
        <w:pStyle w:val="BodyText"/>
      </w:pPr>
      <w:r>
        <w:t xml:space="preserve">Two changes in kind mark the sequence, and only the first is complete: speech to writing is finished, a</w:t>
      </w:r>
      <w:r>
        <w:t xml:space="preserve"> </w:t>
      </w:r>
      <w:r>
        <w:t xml:space="preserve">scribe working a different medium from a better speaker, while writing to algorithmic mediation is under</w:t>
      </w:r>
      <w:r>
        <w:t xml:space="preserve"> </w:t>
      </w:r>
      <w:r>
        <w:t xml:space="preserve">way, and section 4 argues that it is a change of the same order in the regime of coordination. Digital</w:t>
      </w:r>
      <w:r>
        <w:t xml:space="preserve"> </w:t>
      </w:r>
      <w:r>
        <w:t xml:space="preserve">sovereignty sits inside the second era: a compliance officer is a reader, working new registers on new</w:t>
      </w:r>
      <w:r>
        <w:t xml:space="preserve"> </w:t>
      </w:r>
      <w:r>
        <w:t xml:space="preserve">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have, and faced with platform coordination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fails, because of what the 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Whereas the coordination logic — price, authority, trust — is old, and platforms largely run the existing</w:t>
      </w:r>
      <w:r>
        <w:t xml:space="preserve"> </w:t>
      </w:r>
      <w:r>
        <w:t xml:space="preserve">logics in algorithmic form (algorithmic pricing that clears supply and demand, algorithmic command that</w:t>
      </w:r>
      <w:r>
        <w:t xml:space="preserve"> </w:t>
      </w:r>
      <w:r>
        <w:t xml:space="preserve">assigns and deactivates, algorithmic reputation that scores and ranks, interwoven task by task within a</w:t>
      </w:r>
      <w:r>
        <w:t xml:space="preserve"> </w:t>
      </w:r>
      <w:r>
        <w:t xml:space="preserve">single platform; Robinson et al., 2026), the topology is old too: a third party standing between two others</w:t>
      </w:r>
      <w:r>
        <w:t xml:space="preserve"> </w:t>
      </w:r>
      <w:r>
        <w:t xml:space="preserve">who never deal directly has been the broker’s, the dealer’s, and the auctioneer’s position for centuries,</w:t>
      </w:r>
      <w:r>
        <w:t xml:space="preserve"> </w:t>
      </w:r>
      <w:r>
        <w:t xml:space="preserve">the sociological analysis of the triad is itself a century old (Simmel, 1908/1950), and network sociology</w:t>
      </w:r>
      <w:r>
        <w:t xml:space="preserve"> </w:t>
      </w:r>
      <w:r>
        <w:t xml:space="preserve">built a literature on the profits of that position, from the broker who bridges disconnected others (Burt,</w:t>
      </w:r>
      <w:r>
        <w:t xml:space="preserve"> </w:t>
      </w:r>
      <w:r>
        <w:t xml:space="preserve">2004) to the broker who joins the parties it stands between (Obstfeld, 2005). The platform occupies the</w:t>
      </w:r>
      <w:r>
        <w:t xml:space="preserve"> </w:t>
      </w:r>
      <w:r>
        <w:t xml:space="preserve">mediating position that J. D. Thompson (1967) named a mediating technology, linking parties who would</w:t>
      </w:r>
      <w:r>
        <w:t xml:space="preserve"> </w:t>
      </w:r>
      <w:r>
        <w:t xml:space="preserve">otherwise never transact. What is new is what the conjunction of features does to governance: the mediator</w:t>
      </w:r>
      <w:r>
        <w:t xml:space="preserve"> </w:t>
      </w:r>
      <w:r>
        <w:t xml:space="preserve">is opaque, in that high-dimensional systems produce its determinations and those determinations resist</w:t>
      </w:r>
      <w:r>
        <w:t xml:space="preserve"> </w:t>
      </w:r>
      <w:r>
        <w:t xml:space="preserve">interpretation; it is adaptive, reconfigured continuously and without notice; and the interest it carries</w:t>
      </w:r>
      <w:r>
        <w:t xml:space="preserve"> </w:t>
      </w:r>
      <w:r>
        <w:t xml:space="preserve">is not the algorithm’s but the firm’s, the owner pursuing objectives of its own and retuning the system in</w:t>
      </w:r>
      <w:r>
        <w:t xml:space="preserve"> </w:t>
      </w:r>
      <w:r>
        <w:t xml:space="preserve">their pursuit, so the apparatus that coordinates the parties is set by a party with a stake in the outcome.</w:t>
      </w:r>
      <w:r>
        <w:t xml:space="preserve"> </w:t>
      </w:r>
      <w:r>
        <w:t xml:space="preserve">None of the three is new; together they defeat disclosure as a way of governing. The coordinated actor</w:t>
      </w:r>
      <w:r>
        <w:t xml:space="preserve"> </w:t>
      </w:r>
      <w:r>
        <w:t xml:space="preserve">takes no orders from a manager and signs no negotiated deal, yet the platform draws it into a system that</w:t>
      </w:r>
      <w:r>
        <w:t xml:space="preserve"> </w:t>
      </w:r>
      <w:r>
        <w:t xml:space="preserve">assigns, ranks, prices, and recommends, whose rules it cannot see and whose objectives it does not share,</w:t>
      </w:r>
      <w:r>
        <w:t xml:space="preserve"> </w:t>
      </w:r>
      <w:r>
        <w:t xml:space="preserve">and the system’s ordinary 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removed: the seller has no seat and no ceremony of consultation, only a determination, and</w:t>
      </w:r>
      <w:r>
        <w:t xml:space="preserve"> </w:t>
      </w:r>
      <w:r>
        <w:t xml:space="preserve">the 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triadic: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controls,</w:t>
      </w:r>
      <w:r>
        <w:t xml:space="preserve"> </w:t>
      </w:r>
      <w:r>
        <w:t xml:space="preserve">and the rider is in the same position from the other side, the system standing between them and pursuing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others; the platform holds that position and runs it as a system, so its</w:t>
      </w:r>
      <w:r>
        <w:t xml:space="preserve"> </w:t>
      </w:r>
      <w:r>
        <w:t xml:space="preserve">determinations constitute the coordination.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The first feature, opacity, is that high-dimensional systems produce determinations that resist</w:t>
      </w:r>
      <w:r>
        <w:t xml:space="preserve"> </w:t>
      </w:r>
      <w:r>
        <w:t xml:space="preserve">interpretation even when the code is released. Burrell (2016) distinguishes three opacities: the</w:t>
      </w:r>
      <w:r>
        <w:t xml:space="preserve"> </w:t>
      </w:r>
      <w:r>
        <w:t xml:space="preserve">intentional kind, the kind that follows from technical illiteracy, and the kind intrinsic to the scale and</w:t>
      </w:r>
      <w:r>
        <w:t xml:space="preserve"> </w:t>
      </w:r>
      <w:r>
        <w:t xml:space="preserve">mathematics of machine learning. The third survives the release of source code, because the behavior of a</w:t>
      </w:r>
      <w:r>
        <w:t xml:space="preserve"> </w:t>
      </w:r>
      <w:r>
        <w:t xml:space="preserve">model over millions of parameters and cases is not legible the way a statute is legible, and one can read</w:t>
      </w:r>
      <w:r>
        <w:t xml:space="preserve"> </w:t>
      </w:r>
      <w:r>
        <w:t xml:space="preserve">the code and still not know what the system will do.</w:t>
      </w:r>
    </w:p>
    <w:p>
      <w:pPr>
        <w:pStyle w:val="BodyText"/>
      </w:pPr>
      <w:r>
        <w:t xml:space="preserve">The second feature, adaptivity, is that a ranking system is retuned continuously, so a disclosure describes</w:t>
      </w:r>
      <w:r>
        <w:t xml:space="preserve"> </w:t>
      </w:r>
      <w:r>
        <w:t xml:space="preserve">a configuration that may not survive the quarter, whereas a statute holds still long enough to be read,</w:t>
      </w:r>
      <w:r>
        <w:t xml:space="preserve"> </w:t>
      </w:r>
      <w:r>
        <w:t xml:space="preserve">compared, and contested. Adaptivity defeats disclosure more decisively than opacity does, because it</w:t>
      </w:r>
      <w:r>
        <w:t xml:space="preserve"> </w:t>
      </w:r>
      <w:r>
        <w:t xml:space="preserve">defeats even a complete disclosure.</w:t>
      </w:r>
    </w:p>
    <w:p>
      <w:pPr>
        <w:pStyle w:val="BodyText"/>
      </w:pPr>
      <w:r>
        <w:t xml:space="preserve">The third feature, standing, is that reading without a channel to act produces no accountability. Ananny</w:t>
      </w:r>
      <w:r>
        <w:t xml:space="preserve"> </w:t>
      </w:r>
      <w:r>
        <w:t xml:space="preserve">and Crawford (2018) show that the transparency ideal fails when no institution can act on what is seen: a</w:t>
      </w:r>
      <w:r>
        <w:t xml:space="preserve"> </w:t>
      </w:r>
      <w:r>
        <w:t xml:space="preserve">disclosure that no party has standing to contest is a fact without a consequence.</w:t>
      </w:r>
    </w:p>
    <w:p>
      <w:pPr>
        <w:pStyle w:val="BodyText"/>
      </w:pPr>
      <w:r>
        <w:t xml:space="preserve">The fourth feature, leverage, is that the actors who most need to contest the system have no leverage over</w:t>
      </w:r>
      <w:r>
        <w:t xml:space="preserve"> </w:t>
      </w:r>
      <w:r>
        <w:t xml:space="preserve">it. Platform-dependent entrepreneurs operate under power asymmetries that diversification cannot relieve,</w:t>
      </w:r>
      <w:r>
        <w:t xml:space="preserve"> </w:t>
      </w:r>
      <w:r>
        <w:t xml:space="preserve">because in many sectors no alternative platform exists at the required scale (Cutolo &amp; Kenney, 2021).</w:t>
      </w:r>
      <w:r>
        <w:t xml:space="preserve"> </w:t>
      </w:r>
      <w:r>
        <w:t xml:space="preserve">Workers under opaque algorithmic evaluation inhabit what Rahman (2021) calls an invisible cage: they react</w:t>
      </w:r>
      <w:r>
        <w:t xml:space="preserve"> </w:t>
      </w:r>
      <w:r>
        <w:t xml:space="preserve">to a system whose rules they cannot see, adjusting their behavior to a shifting target, and the reaction is</w:t>
      </w:r>
      <w:r>
        <w:t xml:space="preserve"> </w:t>
      </w:r>
      <w:r>
        <w:t xml:space="preserve">itself a form of control. The flexibility such platforms advertise is real, and it operates inside that</w:t>
      </w:r>
      <w:r>
        <w:t xml:space="preserve"> </w:t>
      </w:r>
      <w:r>
        <w:t xml:space="preserve">control: a worker chooses her hours and cannot see what her choices are measured against (Wood et al.,</w:t>
      </w:r>
      <w:r>
        <w:t xml:space="preserve"> </w:t>
      </w:r>
      <w:r>
        <w:t xml:space="preserve">2019).</w:t>
      </w:r>
    </w:p>
    <w:p>
      <w:pPr>
        <w:pStyle w:val="BodyText"/>
      </w:pPr>
      <w:r>
        <w:t xml:space="preserve">The fifth feature, disclosure as the dominant modality, is that the instrument European regulation reaches</w:t>
      </w:r>
      <w:r>
        <w:t xml:space="preserve"> </w:t>
      </w:r>
      <w:r>
        <w:t xml:space="preserve">for is a literate one. Hildebrandt (2015) distinguishes the mode of law that operates through written</w:t>
      </w:r>
      <w:r>
        <w:t xml:space="preserve"> </w:t>
      </w:r>
      <w:r>
        <w:t xml:space="preserve">rules from the modes that operate through code and data, and argues that the first cannot straightforwardly</w:t>
      </w:r>
      <w:r>
        <w:t xml:space="preserve"> </w:t>
      </w:r>
      <w:r>
        <w:t xml:space="preserve">govern the second. Recent European instruments do reach into ranking and automated decisions: the</w:t>
      </w:r>
      <w:r>
        <w:t xml:space="preserve"> </w:t>
      </w:r>
      <w:r>
        <w:t xml:space="preserve">Platform-to-Business Regulation obliges platforms to disclose the main parameters of ranking, the Digital</w:t>
      </w:r>
      <w:r>
        <w:t xml:space="preserve"> </w:t>
      </w:r>
      <w:r>
        <w:t xml:space="preserve">Services Act adds recommender transparency and researcher access, and the Digital Markets Act constrains</w:t>
      </w:r>
      <w:r>
        <w:t xml:space="preserve"> </w:t>
      </w:r>
      <w:r>
        <w:t xml:space="preserve">gatekeeper conduct. What these share is the literate wager, that a legible object placed before an actor</w:t>
      </w:r>
      <w:r>
        <w:t xml:space="preserve"> </w:t>
      </w:r>
      <w:r>
        <w:t xml:space="preserve">who can act on it will hold its operator to account. Article 22 of the GDPR belongs to a different family:</w:t>
      </w:r>
      <w:r>
        <w:t xml:space="preserve"> </w:t>
      </w:r>
      <w:r>
        <w:t xml:space="preserve">it gives a natural person subject to a solely automated decision the right to obtain human intervention and</w:t>
      </w:r>
      <w:r>
        <w:t xml:space="preserve"> </w:t>
      </w:r>
      <w:r>
        <w:t xml:space="preserve">to contest the outcome. That is case-level standing already in hard law, and section 7 places it among the</w:t>
      </w:r>
      <w:r>
        <w:t xml:space="preserve"> </w:t>
      </w:r>
      <w:r>
        <w:t xml:space="preserve">voice instruments. Its threshold is high, its practice thin, and its protection stops at the natural</w:t>
      </w:r>
      <w:r>
        <w:t xml:space="preserve"> </w:t>
      </w:r>
      <w:r>
        <w:t xml:space="preserve">person, so the platform-dependent firm falls outside it. Against an opaque and adaptive coordination the</w:t>
      </w:r>
      <w:r>
        <w:t xml:space="preserve"> </w:t>
      </w:r>
      <w:r>
        <w:t xml:space="preserve">wager mostly fails, and the disclosures that succeed reproduce the standing gap Ananny and Crawford (2018)</w:t>
      </w:r>
      <w:r>
        <w:t xml:space="preserve"> </w:t>
      </w:r>
      <w:r>
        <w:t xml:space="preserve">name (Cohen, 2017; Pasquale, 2023). Surveys of the sovereignty concept confirm the residue: Fratini et al.</w:t>
      </w:r>
      <w:r>
        <w:t xml:space="preserve"> </w:t>
      </w:r>
      <w:r>
        <w:t xml:space="preserve">(2024) sort existing models of digital sovereignty as rights-based, market-oriented, centralizing, or</w:t>
      </w:r>
      <w:r>
        <w:t xml:space="preserve"> </w:t>
      </w:r>
      <w:r>
        <w:t xml:space="preserve">state-based, and judge them for whether they combine comprehensive regulation with responsiveness. None of</w:t>
      </w:r>
      <w:r>
        <w:t xml:space="preserve"> </w:t>
      </w:r>
      <w:r>
        <w:t xml:space="preserve">that sorting addresses the coordination through which platforms enroll and bind.</w:t>
      </w:r>
    </w:p>
    <w:p>
      <w:pPr>
        <w:pStyle w:val="BodyText"/>
      </w:pPr>
      <w:r>
        <w:t xml:space="preserve">Disclosure makes an object legible;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In the mediated triad both parties must pass through the third party to produce anything at all, and that</w:t>
      </w:r>
      <w:r>
        <w:t xml:space="preserve"> </w:t>
      </w:r>
      <w:r>
        <w:t xml:space="preserve">structural position gives the mediator bottleneck power (Rochet &amp; Tirole, 2003), whereas parties who</w:t>
      </w:r>
      <w:r>
        <w:t xml:space="preserve"> </w:t>
      </w:r>
      <w:r>
        <w:t xml:space="preserve">transact directly divide the surplus of their exchange between them.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Platforms compete for the single-homing side and often subsidize it, as application stores show: consumers</w:t>
      </w:r>
      <w:r>
        <w:t xml:space="preserve"> </w:t>
      </w:r>
      <w:r>
        <w:t xml:space="preserve">hold one phone operating system and pay nothing for the store, while developers publish on both and pay</w:t>
      </w:r>
      <w:r>
        <w:t xml:space="preserve"> </w:t>
      </w:r>
      <w:r>
        <w:t xml:space="preserve">the commission, because reaching each population requires going through its gatekeeper.</w:t>
      </w:r>
    </w:p>
    <w:p>
      <w:pPr>
        <w:pStyle w:val="BodyText"/>
      </w:pPr>
      <w:r>
        <w:t xml:space="preserve">A faithful mediator, optimizing only for the coordination of the parties, would still hold bottleneck</w:t>
      </w:r>
      <w:r>
        <w:t xml:space="preserve"> </w:t>
      </w:r>
      <w:r>
        <w:t xml:space="preserve">power; a mediator optimizing for objectives of its own reshapes the coordination around those objectives,</w:t>
      </w:r>
      <w:r>
        <w:t xml:space="preserve"> </w:t>
      </w:r>
      <w:r>
        <w:t xml:space="preserve">and the coordinated are enrolled in a logic that need not serve them. An applicant-tracking system tuned to</w:t>
      </w:r>
      <w:r>
        <w:t xml:space="preserve"> </w:t>
      </w:r>
      <w:r>
        <w:t xml:space="preserve">the hirer’s convenience, a dispatcher tuned to the platform’s utilization targets, a feed tuned to</w:t>
      </w:r>
      <w:r>
        <w:t xml:space="preserve"> </w:t>
      </w:r>
      <w:r>
        <w:t xml:space="preserve">engagement over what its users would choose — each authors a coordination whose terms are set by an</w:t>
      </w:r>
      <w:r>
        <w:t xml:space="preserve"> </w:t>
      </w:r>
      <w:r>
        <w:t xml:space="preserve">interest the coordinated parties do not share and cannot see.</w:t>
      </w:r>
    </w:p>
    <w:p>
      <w:pPr>
        <w:pStyle w:val="BodyText"/>
      </w:pPr>
      <w:r>
        <w:t xml:space="preserve">Opacity preserves the rent. O’Reilly et al. (2024) argue that platforms extract rents through algorithmic</w:t>
      </w:r>
      <w:r>
        <w:t xml:space="preserve"> </w:t>
      </w:r>
      <w:r>
        <w:t xml:space="preserve">control over the allocation of attention, that the market for that allocation is opaque, and that the rents</w:t>
      </w:r>
      <w:r>
        <w:t xml:space="preserve"> </w:t>
      </w:r>
      <w:r>
        <w:t xml:space="preserve">follow from discretion over allocation rather than from any service rendered. Cohen (2017) documents the</w:t>
      </w:r>
      <w:r>
        <w:t xml:space="preserve"> </w:t>
      </w:r>
      <w:r>
        <w:t xml:space="preserve">strategy in operation: platforms treat algorithmic logics as zones of exclusivity,</w:t>
      </w:r>
      <w:r>
        <w:t xml:space="preserve"> </w:t>
      </w:r>
      <w:r>
        <w:t xml:space="preserve">“extracting transparency</w:t>
      </w:r>
      <w:r>
        <w:t xml:space="preserve"> </w:t>
      </w:r>
      <w:r>
        <w:t xml:space="preserve">from users but shielding basic operational knowledge”</w:t>
      </w:r>
      <w:r>
        <w:t xml:space="preserve"> </w:t>
      </w:r>
      <w:r>
        <w:t xml:space="preserve">(p. 154) and deploying opacity in litigation to</w:t>
      </w:r>
      <w:r>
        <w:t xml:space="preserve"> </w:t>
      </w:r>
      <w:r>
        <w:t xml:space="preserve">defeat the identification of affected classes (p. 182). Sekar and Siddiq (2026) reach the same conclusion</w:t>
      </w:r>
      <w:r>
        <w:t xml:space="preserve"> </w:t>
      </w:r>
      <w:r>
        <w:t xml:space="preserve">formally, finding that a platform does better disclosing partial rather than complete information about</w:t>
      </w:r>
      <w:r>
        <w:t xml:space="preserve"> </w:t>
      </w:r>
      <w:r>
        <w:t xml:space="preserve">buyer risk, because</w:t>
      </w:r>
      <w:r>
        <w:t xml:space="preserve"> </w:t>
      </w:r>
      <w:r>
        <w:t xml:space="preserve">“full transparency diminishes the platform’s protective value and intensifies</w:t>
      </w:r>
      <w:r>
        <w:t xml:space="preserve"> </w:t>
      </w:r>
      <w:r>
        <w:t xml:space="preserve">disintermediation incentives”</w:t>
      </w:r>
      <w:r>
        <w:t xml:space="preserve"> </w:t>
      </w:r>
      <w:r>
        <w:t xml:space="preserve">(Abstract). A transparent bottleneck would still be a bottleneck, and a</w:t>
      </w:r>
      <w:r>
        <w:t xml:space="preserve"> </w:t>
      </w:r>
      <w:r>
        <w:t xml:space="preserve">disclosed objective the coordinated actor has no standing to 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supply, and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part, inferential, is the capacity to model the behavior of a system</w:t>
      </w:r>
      <w:r>
        <w:t xml:space="preserve"> </w:t>
      </w:r>
      <w:r>
        <w:t xml:space="preserve">one cannot see, forming and revising a working theory of how it sorts and optimizes from the evidence of</w:t>
      </w:r>
      <w:r>
        <w:t xml:space="preserve"> </w:t>
      </w:r>
      <w:r>
        <w:t xml:space="preserve">its outputs. The second, translational, is the capacity to render one’s own conduct into the terms the</w:t>
      </w:r>
      <w:r>
        <w:t xml:space="preserve"> </w:t>
      </w:r>
      <w:r>
        <w:t xml:space="preserve">system reads, and to read the system’s determinations back into consequences for oneself and one’s</w:t>
      </w:r>
      <w:r>
        <w:t xml:space="preserve"> </w:t>
      </w:r>
      <w:r>
        <w:t xml:space="preserve">counterpart. The third, temporal, is the capacity to hold a strategy together across a system whose rules</w:t>
      </w:r>
      <w:r>
        <w:t xml:space="preserve"> </w:t>
      </w:r>
      <w:r>
        <w:t xml:space="preserve">shift without notice.</w:t>
      </w:r>
    </w:p>
    <w:p>
      <w:pPr>
        <w:pStyle w:val="BodyText"/>
      </w:pPr>
      <w:r>
        <w:t xml:space="preserve">The literature already names the three parts and holds them together. DeVito (2021) defines algorithmic</w:t>
      </w:r>
      <w:r>
        <w:t xml:space="preserve"> </w:t>
      </w:r>
      <w:r>
        <w:t xml:space="preserve">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do: each account</w:t>
      </w:r>
      <w:r>
        <w:t xml:space="preserve"> </w:t>
      </w:r>
      <w:r>
        <w:t xml:space="preserve">above describes an actor working a system that acts on it, whereas algorithmacy describes an actor working</w:t>
      </w:r>
      <w:r>
        <w:t xml:space="preserve"> </w:t>
      </w:r>
      <w:r>
        <w:t xml:space="preserve">a system that is simultaneously matching it to a counterpart and scoring it on how that match goes. The</w:t>
      </w:r>
      <w:r>
        <w:t xml:space="preserve"> </w:t>
      </w:r>
      <w:r>
        <w:t xml:space="preserve">competence is exercised on two relationships at once, and the second is legible to the actor only through</w:t>
      </w:r>
      <w:r>
        <w:t xml:space="preserve"> </w:t>
      </w:r>
      <w:r>
        <w:t xml:space="preserve">its effects on the first. Reviewing algorithm-literacy research, Gagričin et al. (2026) call for</w:t>
      </w:r>
      <w:r>
        <w:t xml:space="preserve"> </w:t>
      </w:r>
      <w:r>
        <w:t xml:space="preserve">domain-specific constructs rather than a single general capacity. Algorithmacy is one — the competence</w:t>
      </w:r>
      <w:r>
        <w:t xml:space="preserve"> </w:t>
      </w:r>
      <w:r>
        <w:t xml:space="preserve">indexed to triadic coordination — and the novelty claimed against these accounts is that index and nothing</w:t>
      </w:r>
      <w:r>
        <w:t xml:space="preserve"> </w:t>
      </w:r>
      <w:r>
        <w:t xml:space="preserve">larger. The change in kind that section 2.3 announced belongs to the regime: the three capacities are</w:t>
      </w:r>
      <w:r>
        <w:t xml:space="preserve"> </w:t>
      </w:r>
      <w:r>
        <w:t xml:space="preserve">continuous with algorithmic literacy, and the coordination they must now work — through an opaque,</w:t>
      </w:r>
      <w:r>
        <w:t xml:space="preserve"> </w:t>
      </w:r>
      <w:r>
        <w:t xml:space="preserve">adaptive, interested mediator — is 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A prime example of the competence at work is an ordinary week on a ranking platform. A seller’s placement</w:t>
      </w:r>
      <w:r>
        <w:t xml:space="preserve"> </w:t>
      </w:r>
      <w:r>
        <w:t xml:space="preserve">drops, and she checks the obvious things — price, stock, a lapsed promotion — which are fine; watching</w:t>
      </w:r>
      <w:r>
        <w:t xml:space="preserve"> </w:t>
      </w:r>
      <w:r>
        <w:t xml:space="preserve">which listings fell and which held, she sees that the fall tracks the items where buyers had opened</w:t>
      </w:r>
      <w:r>
        <w:t xml:space="preserve"> </w:t>
      </w:r>
      <w:r>
        <w:t xml:space="preserve">disputes, including the ones resolved in her favor, so the system is reading the existence of the dispute</w:t>
      </w:r>
      <w:r>
        <w:t xml:space="preserve"> </w:t>
      </w:r>
      <w:r>
        <w:t xml:space="preserve">rather than its outcome. She therefore changes how she deals with buyers: she messages first at the</w:t>
      </w:r>
      <w:r>
        <w:t xml:space="preserve"> </w:t>
      </w:r>
      <w:r>
        <w:t xml:space="preserve">smallest sign of trouble, absorbs returns she could contest, and prices the difference in. She has read</w:t>
      </w:r>
      <w:r>
        <w:t xml:space="preserve"> </w:t>
      </w:r>
      <w:r>
        <w:t xml:space="preserve">nothing, because there was nothing to read; she has inferred what the system rewards from the movement of</w:t>
      </w:r>
      <w:r>
        <w:t xml:space="preserve"> </w:t>
      </w:r>
      <w:r>
        <w:t xml:space="preserve">her own listings, rendered her conduct toward a counterpart into the terms she believes the system reads,</w:t>
      </w:r>
      <w:r>
        <w:t xml:space="preserve"> </w:t>
      </w:r>
      <w:r>
        <w:t xml:space="preserve">and she will do it again in six months when the weighting changes. A seller without the competence sees</w:t>
      </w:r>
      <w:r>
        <w:t xml:space="preserve"> </w:t>
      </w:r>
      <w:r>
        <w:t xml:space="preserve">only that sales fell, and waits, or blames the market, or abandons a channel 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own: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pattern, because building it costs time,</w:t>
      </w:r>
      <w:r>
        <w:t xml:space="preserve"> </w:t>
      </w:r>
      <w:r>
        <w:t xml:space="preserve">attention, and often paid analysts and tooling that read a platform’s signals at a scale a small operator</w:t>
      </w:r>
      <w:r>
        <w:t xml:space="preserve"> </w:t>
      </w:r>
      <w:r>
        <w:t xml:space="preserve">cannot match, so the actors best placed to model the system are the large ones already advantaged within</w:t>
      </w:r>
      <w:r>
        <w:t xml:space="preserve"> </w:t>
      </w:r>
      <w:r>
        <w:t xml:space="preserve">it. Survey evidence bears this out: algorithmic knowledge varies with socioeconomic advantage instead of</w:t>
      </w:r>
      <w:r>
        <w:t xml:space="preserve"> </w:t>
      </w:r>
      <w:r>
        <w:t xml:space="preserve">spreading evenly across those subject to it (Cotter &amp; Reisdorf, 2020). Petre et al. (2019) identify a</w:t>
      </w:r>
      <w:r>
        <w:t xml:space="preserve"> </w:t>
      </w:r>
      <w:r>
        <w:t xml:space="preserve">mechanism that holds 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 accusation falls hardest on producers who are not already established, so the actors with</w:t>
      </w:r>
      <w:r>
        <w:t xml:space="preserve"> </w:t>
      </w:r>
      <w:r>
        <w:t xml:space="preserve">least room to absorb a penalty are the ones most exposed to one for acquiring the competence. The</w:t>
      </w:r>
      <w:r>
        <w:t xml:space="preserve"> </w:t>
      </w:r>
      <w:r>
        <w:t xml:space="preserve">platform, for its part, does more than neglect to make its rules legible, since opacity preserves the rent</w:t>
      </w:r>
      <w:r>
        <w:t xml:space="preserve"> </w:t>
      </w:r>
      <w:r>
        <w:t xml:space="preserve">(section 3.3). Coordinative sovereignty, which algorithmacy makes possible, therefore concentrates where</w:t>
      </w:r>
      <w:r>
        <w:t xml:space="preserve"> </w:t>
      </w:r>
      <w:r>
        <w:t xml:space="preserve">algorithmacy is 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regime: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The diagnostic is two operations, related yet different, that can disagree: factoring asks whether the</w:t>
      </w:r>
      <w:r>
        <w:t xml:space="preserve"> </w:t>
      </w:r>
      <w:r>
        <w:t xml:space="preserve">coordination is triadic as it stands, and the bypass asks whether it would stay triadic if an external</w:t>
      </w:r>
      <w:r>
        <w:t xml:space="preserve"> </w:t>
      </w:r>
      <w:r>
        <w:t xml:space="preserve">constraint were lifted.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The first operation, factoring, asks whether the three parties — a worker, a mediator, and a counterpart —</w:t>
      </w:r>
      <w:r>
        <w:t xml:space="preserve"> </w:t>
      </w:r>
      <w:r>
        <w:t xml:space="preserve">really act as one system, or whether they only look connected. In some arrangements the mediator is a</w:t>
      </w:r>
      <w:r>
        <w:t xml:space="preserve"> </w:t>
      </w:r>
      <w:r>
        <w:t xml:space="preserve">conduit: it relays between two parties who stay separate, and an actor governs by reading the interface</w:t>
      </w:r>
      <w:r>
        <w:t xml:space="preserve"> </w:t>
      </w:r>
      <w:r>
        <w:t xml:space="preserve">and the terms. In others the mediator binds the two parties into a joint outcome that neither could</w:t>
      </w:r>
      <w:r>
        <w:t xml:space="preserve"> </w:t>
      </w:r>
      <w:r>
        <w:t xml:space="preserve">produce alone and that no clean split of the arrangement reproduces. Call that second kind constitutive:</w:t>
      </w:r>
      <w:r>
        <w:t xml:space="preserve"> </w:t>
      </w:r>
      <w:r>
        <w:t xml:space="preserve">governing it, if it can be 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is enough here: restore a direct link between the two parties and see whether the</w:t>
      </w:r>
      <w:r>
        <w:t xml:space="preserve"> </w:t>
      </w:r>
      <w:r>
        <w:t xml:space="preserve">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Restore the direct tie between two parties that a binding mediator forbids, and recompute</w:t>
      </w:r>
      <w:r>
        <w:t xml:space="preserve"> </w:t>
      </w:r>
      <w:r>
        <w:t xml:space="preserve">whether the mediator still binds: whereas some mediators keep their grip, others lose it the moment the</w:t>
      </w:r>
      <w:r>
        <w:t xml:space="preserve"> </w:t>
      </w:r>
      <w:r>
        <w:t xml:space="preserve">tie is open. A mediator that keeps its grip is necessary: its position rests on integrating work that the</w:t>
      </w:r>
      <w:r>
        <w:t xml:space="preserve"> </w:t>
      </w:r>
      <w:r>
        <w:t xml:space="preserve">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A mediator that loses its grip is contingent: its position rested on the absence of the</w:t>
      </w:r>
      <w:r>
        <w:t xml:space="preserve"> </w:t>
      </w:r>
      <w:r>
        <w:t xml:space="preserve">direct tie, an absence usually held in place by an external constraint. A prime example is the franchised</w:t>
      </w:r>
      <w:r>
        <w:t xml:space="preserve"> </w:t>
      </w:r>
      <w:r>
        <w:t xml:space="preserve">car dealer, which relays a vehicle from manufacturer to buyer and integrates nothing: it occupies the</w:t>
      </w:r>
      <w:r>
        <w:t xml:space="preserve"> </w:t>
      </w:r>
      <w:r>
        <w:t xml:space="preserve">coordination because franchise law forbids the manufacturer to sell direct, and repealing the law</w:t>
      </w:r>
      <w:r>
        <w:t xml:space="preserve"> </w:t>
      </w:r>
      <w:r>
        <w:t xml:space="preserve">dissolves the dealer’s position. A mediator that was never in the coordination’s core is reducible: the</w:t>
      </w:r>
      <w:r>
        <w:t xml:space="preserve"> </w:t>
      </w:r>
      <w:r>
        <w:t xml:space="preserve">parties can already deal directly. A mediator that keeps a constitutive role under the open tie while</w:t>
      </w:r>
      <w:r>
        <w:t xml:space="preserve"> </w:t>
      </w:r>
      <w:r>
        <w:t xml:space="preserve">losing part of its integration is a partial mediator: real 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The question is whether these two parties could reach each other at comparable cost if</w:t>
      </w:r>
      <w:r>
        <w:t xml:space="preserve"> </w:t>
      </w:r>
      <w:r>
        <w:t xml:space="preserve">no rule, contract, or architecture stood in the way. For parties who already know of each other the</w:t>
      </w:r>
      <w:r>
        <w:t xml:space="preserve"> </w:t>
      </w:r>
      <w:r>
        <w:t xml:space="preserve">question is easy; for a function whose whole business is introducing strangers it is the entire question,</w:t>
      </w:r>
      <w:r>
        <w:t xml:space="preserve"> </w:t>
      </w:r>
      <w:r>
        <w:t xml:space="preserve">and the answer varies by actor. A traveler looking for a hotel chain she has used before can reach it</w:t>
      </w:r>
      <w:r>
        <w:t xml:space="preserve"> </w:t>
      </w:r>
      <w:r>
        <w:t xml:space="preserve">directly, so the aggregation that would have introduced them is contingent for that booking, whereas a</w:t>
      </w:r>
      <w:r>
        <w:t xml:space="preserve"> </w:t>
      </w:r>
      <w:r>
        <w:t xml:space="preserve">traveler who would never have learned that an independent hotel exists cannot, so the same function is</w:t>
      </w:r>
      <w:r>
        <w:t xml:space="preserve"> </w:t>
      </w:r>
      <w:r>
        <w:t xml:space="preserve">doing integrating work no direct tie reproduces. A mediator’s classification therefore depends on which</w:t>
      </w:r>
      <w:r>
        <w:t xml:space="preserve"> </w:t>
      </w:r>
      <w:r>
        <w:t xml:space="preserve">coordination is being asked about. The diagnostic sorts functions for a given dependent party, and it does</w:t>
      </w:r>
      <w:r>
        <w:t xml:space="preserve"> </w:t>
      </w:r>
      <w:r>
        <w:t xml:space="preserve">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stands;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Brokerage research asks what a broker</w:t>
      </w:r>
      <w:r>
        <w:t xml:space="preserve"> </w:t>
      </w:r>
      <w:r>
        <w:t xml:space="preserve">gains from standing between disconnected parties and whether another actor could occupy the position (Burt,</w:t>
      </w:r>
      <w:r>
        <w:t xml:space="preserve"> </w:t>
      </w:r>
      <w:r>
        <w:t xml:space="preserve">2004; Obstfeld, 2005), and Ryall and Sorenson (2007) formalize when a broker is essential to the value a</w:t>
      </w:r>
      <w:r>
        <w:t xml:space="preserve"> </w:t>
      </w:r>
      <w:r>
        <w:t xml:space="preserve">coalition creates. Transaction cost economics asks whether a firm should perform a transaction internally</w:t>
      </w:r>
      <w:r>
        <w:t xml:space="preserve"> </w:t>
      </w:r>
      <w:r>
        <w:t xml:space="preserve">or buy it (Williamson, 1975). Competition law’s essential-facilities doctrine asks whether an excluded</w:t>
      </w:r>
      <w:r>
        <w:t xml:space="preserve"> </w:t>
      </w:r>
      <w:r>
        <w:t xml:space="preserve">rival could viably duplicate the facility it seeks access to. Each of these deletes or substitutes the</w:t>
      </w:r>
      <w:r>
        <w:t xml:space="preserve"> </w:t>
      </w:r>
      <w:r>
        <w:t xml:space="preserve">mediator, operating on a node, whereas the bypass test leaves the mediator in place and adds a tie,</w:t>
      </w:r>
      <w:r>
        <w:t xml:space="preserve"> </w:t>
      </w:r>
      <w:r>
        <w:t xml:space="preserve">operating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removed;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A prime example is an application</w:t>
      </w:r>
      <w:r>
        <w:t xml:space="preserve"> </w:t>
      </w:r>
      <w:r>
        <w:t xml:space="preserve">store’s control of payment inside an application. Delete the store’s payment rail as a node and ask whether</w:t>
      </w:r>
      <w:r>
        <w:t xml:space="preserve"> </w:t>
      </w:r>
      <w:r>
        <w:t xml:space="preserve">another rail could practicably reach the same users on that device at comparable cost: the installed base,</w:t>
      </w:r>
      <w:r>
        <w:t xml:space="preserve"> </w:t>
      </w:r>
      <w:r>
        <w:t xml:space="preserve">the default checkout, and the cost of teaching users a second rail all answer no, so every node test</w:t>
      </w:r>
      <w:r>
        <w:t xml:space="preserve"> </w:t>
      </w:r>
      <w:r>
        <w:t xml:space="preserve">returns a mediator that cannot be replaced. That result is about the rail, and it is not yet a verdict on</w:t>
      </w:r>
      <w:r>
        <w:t xml:space="preserve"> </w:t>
      </w:r>
      <w:r>
        <w:t xml:space="preserve">the rule that makes the rail exclusive. Restore the developer-to-user payment edge, through sideloading or</w:t>
      </w:r>
      <w:r>
        <w:t xml:space="preserve"> </w:t>
      </w:r>
      <w:r>
        <w:t xml:space="preserve">a link to an external purchase, and the rule’s force disappears, because a prohibition on a direct tie is a</w:t>
      </w:r>
      <w:r>
        <w:t xml:space="preserve"> </w:t>
      </w:r>
      <w:r>
        <w:t xml:space="preserve">constraint rather than integrating work. The rail may still do authorizing and trust work the open edge</w:t>
      </w:r>
      <w:r>
        <w:t xml:space="preserve"> </w:t>
      </w:r>
      <w:r>
        <w:t xml:space="preserve">does not reproduce, which is the split section 5.4 runs on a payment network: necessary or partial as a</w:t>
      </w:r>
      <w:r>
        <w:t xml:space="preserve"> </w:t>
      </w:r>
      <w:r>
        <w:t xml:space="preserve">rail, contingent as a gate. Node and edge disagree on the gate; they need not disagree on the rail. The</w:t>
      </w:r>
      <w:r>
        <w:t xml:space="preserve"> </w:t>
      </w:r>
      <w:r>
        <w:t xml:space="preserve">Digital 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fixed: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decline: a member of a failing organization has two powers, exit, the power to leave, and</w:t>
      </w:r>
      <w:r>
        <w:t xml:space="preserve"> </w:t>
      </w:r>
      <w:r>
        <w:t xml:space="preserve">voice, the power to stay and press for change. Bypassability is the availability of exit, whereas necessity</w:t>
      </w:r>
      <w:r>
        <w:t xml:space="preserve"> </w:t>
      </w:r>
      <w:r>
        <w:t xml:space="preserve">does not produce voice: it forecloses exit and leaves voice as the residual lever, available against a</w:t>
      </w:r>
      <w:r>
        <w:t xml:space="preserve"> </w:t>
      </w:r>
      <w:r>
        <w:t xml:space="preserve">contingent gate too, and the only lever left where the mediation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principle, because the mediator is held by a liftable</w:t>
      </w:r>
      <w:r>
        <w:t xml:space="preserve"> </w:t>
      </w:r>
      <w:r>
        <w:t xml:space="preserve">constraint, so lifting the constraint restores the direct tie. Deregulation, mandated interoperability, an</w:t>
      </w:r>
      <w:r>
        <w:t xml:space="preserve"> </w:t>
      </w:r>
      <w:r>
        <w:t xml:space="preserve">antitrust remedy, the breaking of an exclusive — each opens exit where the mediator is contingent.</w:t>
      </w:r>
      <w:r>
        <w:t xml:space="preserve"> </w:t>
      </w:r>
      <w:r>
        <w:t xml:space="preserve">Platform economics reads the same fact through multihoming: where an actor can hold more than one platform</w:t>
      </w:r>
      <w:r>
        <w:t xml:space="preserve"> </w:t>
      </w:r>
      <w:r>
        <w:t xml:space="preserve">at once, the bottleneck is contestable (Eisenmann et al., 2006). What holds many actors inside a contingent</w:t>
      </w:r>
      <w:r>
        <w:t xml:space="preserve"> </w:t>
      </w:r>
      <w:r>
        <w:t xml:space="preserve">mediation is involuntary retention: lock-in, multihoming costs, sunk investment. Hirschman’s loyalty kept</w:t>
      </w:r>
      <w:r>
        <w:t xml:space="preserve"> </w:t>
      </w:r>
      <w:r>
        <w:t xml:space="preserve">the voice-prone from leaving and thereby activated voice, whereas retention suppresses exit and activates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starker, because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The contingent/necessary pair just drawn does not describe firms. A real platform is several mediators</w:t>
      </w:r>
      <w:r>
        <w:t xml:space="preserve"> </w:t>
      </w:r>
      <w:r>
        <w:t xml:space="preserve">wearing one name, and the diagnostic classifies functions, not firms. The same company can be necessary in</w:t>
      </w:r>
      <w:r>
        <w:t xml:space="preserve"> </w:t>
      </w:r>
      <w:r>
        <w:t xml:space="preserve">one of its functions and contingent in another, and the coordinated actor’s strategy differs by function. A</w:t>
      </w:r>
      <w:r>
        <w:t xml:space="preserve"> </w:t>
      </w:r>
      <w:r>
        <w:t xml:space="preserve">payment network authorizes transactions, a determination that depends jointly on the merchant’s request and</w:t>
      </w:r>
      <w:r>
        <w:t xml:space="preserve"> </w:t>
      </w:r>
      <w:r>
        <w:t xml:space="preserve">the issuer’s approval and that neither could produce alone, which is necessary integrating work. The same</w:t>
      </w:r>
      <w:r>
        <w:t xml:space="preserve"> </w:t>
      </w:r>
      <w:r>
        <w:t xml:space="preserve">network enforces a rule against steering the customer toward a cheaper method at the till, a gate whose</w:t>
      </w:r>
      <w:r>
        <w:t xml:space="preserve"> </w:t>
      </w:r>
      <w:r>
        <w:t xml:space="preserve">force comes from the card both parties already hold, which is contingent. A large marketplace fulfills</w:t>
      </w:r>
      <w:r>
        <w:t xml:space="preserve"> </w:t>
      </w:r>
      <w:r>
        <w:t xml:space="preserve">orders through logistics that no direct seller-to-buyer tie reproduces at scale, which is necessary; it</w:t>
      </w:r>
      <w:r>
        <w:t xml:space="preserve"> </w:t>
      </w:r>
      <w:r>
        <w:t xml:space="preserve">matches demand to supply, real integrating work that buyers can bypass for goods they already know, which</w:t>
      </w:r>
      <w:r>
        <w:t xml:space="preserve"> </w:t>
      </w:r>
      <w:r>
        <w:t xml:space="preserve">is partial; it gates which seller a buyer sees, a toll sellers pay to pass, which is contingent; and it</w:t>
      </w:r>
      <w:r>
        <w:t xml:space="preserve"> </w:t>
      </w:r>
      <w:r>
        <w:t xml:space="preserve">resells goods it buys, a plain conduit that a brand able to reach customers directly can route around,</w:t>
      </w:r>
      <w:r>
        <w:t xml:space="preserve"> </w:t>
      </w:r>
      <w:r>
        <w:t xml:space="preserve">which is reducible. One firm, four kinds of mediator at once.</w:t>
      </w:r>
    </w:p>
    <w:p>
      <w:pPr>
        <w:pStyle w:val="BodyText"/>
      </w:pPr>
      <w:r>
        <w:t xml:space="preserve">A coordinated actor’s dependence is therefore not monolithic. Against a contingent gate the move is toward</w:t>
      </w:r>
      <w:r>
        <w:t xml:space="preserve"> </w:t>
      </w:r>
      <w:r>
        <w:t xml:space="preserve">exit: interoperability, portability, an alternative channel. Against a necessary function, exit is a</w:t>
      </w:r>
      <w:r>
        <w:t xml:space="preserve"> </w:t>
      </w:r>
      <w:r>
        <w:t xml:space="preserve">mirage and the move is toward voice. Managers who read their platform dependence as a single risk to be</w:t>
      </w:r>
      <w:r>
        <w:t xml:space="preserve"> </w:t>
      </w:r>
      <w:r>
        <w:t xml:space="preserve">diversified miss this.</w:t>
      </w:r>
    </w:p>
    <w:p>
      <w:pPr>
        <w:pStyle w:val="BodyText"/>
      </w:pPr>
      <w:r>
        <w:t xml:space="preserve">The coordinated actor contests the bypassable part and accepts the integrating one, treating them as</w:t>
      </w:r>
      <w:r>
        <w:t xml:space="preserve"> </w:t>
      </w:r>
      <w:r>
        <w:t xml:space="preserve">separate decisions instead of averaging them into a single posture. Modularity research supplies the</w:t>
      </w:r>
      <w:r>
        <w:t xml:space="preserve"> </w:t>
      </w:r>
      <w:r>
        <w:t xml:space="preserve">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an actor that fights one function of a platform while depending on another is</w:t>
      </w:r>
      <w:r>
        <w:t xml:space="preserve"> </w:t>
      </w:r>
      <w:r>
        <w:t xml:space="preserve">pursuing that same distinct strategy.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 prime example of the diagnostic at work is the independent hotel that reaches many of its guests through</w:t>
      </w:r>
      <w:r>
        <w:t xml:space="preserve"> </w:t>
      </w:r>
      <w:r>
        <w:t xml:space="preserve">an online travel agency. The agency does two very different things for its commission, which the European</w:t>
      </w:r>
      <w:r>
        <w:t xml:space="preserve"> </w:t>
      </w:r>
      <w:r>
        <w:t xml:space="preserve">Competition Network’s monitoring exercise put at 10% to above 20% of each booking (European Competition</w:t>
      </w:r>
      <w:r>
        <w:t xml:space="preserve"> </w:t>
      </w:r>
      <w:r>
        <w:t xml:space="preserve">Network, 2017): it aggregates demand, putting the hotel in front of travelers who would never have found</w:t>
      </w:r>
      <w:r>
        <w:t xml:space="preserve"> </w:t>
      </w:r>
      <w:r>
        <w:t xml:space="preserve">it, and it has held rate parity clauses forbidding the hotel to price lower on its own site. C. K.</w:t>
      </w:r>
      <w:r>
        <w:t xml:space="preserve"> </w:t>
      </w:r>
      <w:r>
        <w:t xml:space="preserve">Anderson (2009, 2011) named the first of these the billboard effect and measured the lift in a hotel’s own</w:t>
      </w:r>
      <w:r>
        <w:t xml:space="preserve"> </w:t>
      </w:r>
      <w:r>
        <w:t xml:space="preserve">direct reservations that follows from being listed on an agency at all, though later work has not</w:t>
      </w:r>
      <w:r>
        <w:t xml:space="preserve"> </w:t>
      </w:r>
      <w:r>
        <w:t xml:space="preserve">consistently reproduced it (Beritelli &amp; Schegg, 2016).</w:t>
      </w:r>
    </w:p>
    <w:p>
      <w:pPr>
        <w:pStyle w:val="BodyText"/>
      </w:pPr>
      <w:r>
        <w:t xml:space="preserve">Restored for a traveler who already knows the hotel exists, the capability of direct dealing leaves the</w:t>
      </w:r>
      <w:r>
        <w:t xml:space="preserve"> </w:t>
      </w:r>
      <w:r>
        <w:t xml:space="preserve">parity clause doing nothing: it was held in place by a contract, and it is contingent. Restored for a</w:t>
      </w:r>
      <w:r>
        <w:t xml:space="preserve"> </w:t>
      </w:r>
      <w:r>
        <w:t xml:space="preserve">traveler who would never have learned that the hotel exists, no direct channel at comparable cost</w:t>
      </w:r>
      <w:r>
        <w:t xml:space="preserve"> </w:t>
      </w:r>
      <w:r>
        <w:t xml:space="preserve">reproduces the introduction the agency performed. Demand aggregation survives the bypass for that traveler,</w:t>
      </w:r>
      <w:r>
        <w:t xml:space="preserve"> </w:t>
      </w:r>
      <w:r>
        <w:t xml:space="preserve">and it is necessary: the verdict is a split, and it names two different instruments. Against the parity</w:t>
      </w:r>
      <w:r>
        <w:t xml:space="preserve"> </w:t>
      </w:r>
      <w:r>
        <w:t xml:space="preserve">clause the move is exit, pursued through contract law and competition enforcement. Against demand</w:t>
      </w:r>
      <w:r>
        <w:t xml:space="preserve"> </w:t>
      </w:r>
      <w:r>
        <w:t xml:space="preserve">aggregation, exit is unavailable and the move is voice, pursued through terms the hotel has standing to</w:t>
      </w:r>
      <w:r>
        <w:t xml:space="preserve"> </w:t>
      </w:r>
      <w:r>
        <w:t xml:space="preserve">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open;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The political concept of coordinative sovereignty, understood as the autonomy proper to a necessary</w:t>
      </w:r>
      <w:r>
        <w:t xml:space="preserve"> </w:t>
      </w:r>
      <w:r>
        <w:t xml:space="preserve">mediation, is the power to shape the terms on which one is mediated, to contest the mediator’s arbitrary</w:t>
      </w:r>
      <w:r>
        <w:t xml:space="preserve"> </w:t>
      </w:r>
      <w:r>
        <w:t xml:space="preserve">power, and to hold a share in the governance of an arrangement the open tie does not dissolve. A share in</w:t>
      </w:r>
      <w:r>
        <w:t xml:space="preserve"> </w:t>
      </w:r>
      <w:r>
        <w:t xml:space="preserve">governance specifies what residual voice should amount to, and the counterfactual does not deliver it on</w:t>
      </w:r>
      <w:r>
        <w:t xml:space="preserve"> </w:t>
      </w:r>
      <w:r>
        <w:t xml:space="preserve">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 fact: it does not name lock-in under a contingent gate,</w:t>
      </w:r>
      <w:r>
        <w:t xml:space="preserve"> </w:t>
      </w:r>
      <w:r>
        <w:t xml:space="preserve">which section 5.3 assigned to exit as involuntary retention, nor irreducibility as the coordination is</w:t>
      </w:r>
      <w:r>
        <w:t xml:space="preserve"> </w:t>
      </w:r>
      <w:r>
        <w:t xml:space="preserve">currently wired, which section 5.2 separated from necessity. The construct’s currency is effective voice —</w:t>
      </w:r>
      <w:r>
        <w:t xml:space="preserve"> </w:t>
      </w:r>
      <w:r>
        <w:t xml:space="preserve">terms that hold because the coordinated actors have the standing to make them hold. The two sovereignties</w:t>
      </w:r>
      <w:r>
        <w:t xml:space="preserve"> </w:t>
      </w:r>
      <w:r>
        <w:t xml:space="preserve">the platform situation puts out of reach, independence from the mediator and command of the</w:t>
      </w:r>
      <w:r>
        <w:t xml:space="preserve"> </w:t>
      </w:r>
      <w:r>
        <w:t xml:space="preserve">infrastructure, form no part of it.</w:t>
      </w:r>
    </w:p>
    <w:p>
      <w:pPr>
        <w:pStyle w:val="BodyText"/>
      </w:pPr>
      <w:r>
        <w:t xml:space="preserve">The first strand, republican theory, takes freedom as non-domination, the absence of another’s arbitrary</w:t>
      </w:r>
      <w:r>
        <w:t xml:space="preserve"> </w:t>
      </w:r>
      <w:r>
        <w:t xml:space="preserve">power, a stronger condition than the absence of interference (Pettit, 1997; Skinner, 1998). An actor can</w:t>
      </w:r>
      <w:r>
        <w:t xml:space="preserve"> </w:t>
      </w:r>
      <w:r>
        <w:t xml:space="preserve">be left alone and still unfree if it lives at the mercy of a power that could interfere at will, on terms</w:t>
      </w:r>
      <w:r>
        <w:t xml:space="preserve"> </w:t>
      </w:r>
      <w:r>
        <w:t xml:space="preserve">it cannot contest, which is the condition of the platform-dependent actor. Muldoon and Raekstad (2023)</w:t>
      </w:r>
      <w:r>
        <w:t xml:space="preserve"> </w:t>
      </w:r>
      <w:r>
        <w:t xml:space="preserve">argue the case directly for algorithmic management, treating it as a socio-technical system in which</w:t>
      </w:r>
      <w:r>
        <w:t xml:space="preserve"> </w:t>
      </w:r>
      <w:r>
        <w:t xml:space="preserve">owners and managers hold arbitrary power over those enrolled in it. A standing objection to that</w:t>
      </w:r>
      <w:r>
        <w:t xml:space="preserve"> </w:t>
      </w:r>
      <w:r>
        <w:t xml:space="preserve">application remains: a ranking system is not an agent, so its power may not be arbitrary in the sense</w:t>
      </w:r>
      <w:r>
        <w:t xml:space="preserve"> </w:t>
      </w:r>
      <w:r>
        <w:t xml:space="preserve">republican theory requires. Cicerchia (2022) supplies the answer, arguing that non-domination as usually</w:t>
      </w:r>
      <w:r>
        <w:t xml:space="preserve"> </w:t>
      </w:r>
      <w:r>
        <w:t xml:space="preserve">stated has insufficient scope for structural domination while an adequate account of structural domination</w:t>
      </w:r>
      <w:r>
        <w:t xml:space="preserve"> </w:t>
      </w:r>
      <w:r>
        <w:t xml:space="preserve">still requires that agency be involved. The interest in a platform mediator is the firm’s, and the firm is</w:t>
      </w:r>
      <w:r>
        <w:t xml:space="preserve"> </w:t>
      </w:r>
      <w:r>
        <w:t xml:space="preserve">an agent, which is why section 3 located it there.</w:t>
      </w:r>
    </w:p>
    <w:p>
      <w:pPr>
        <w:pStyle w:val="BodyText"/>
      </w:pPr>
      <w:r>
        <w:t xml:space="preserve">A second, related strand, relational autonomy, holds that autonomy is constituted through the relationships</w:t>
      </w:r>
      <w:r>
        <w:t xml:space="preserve"> </w:t>
      </w:r>
      <w:r>
        <w:t xml:space="preserve">that structure a person (Mackenzie &amp; Stoljar, 2000; Nedelsky, 2011), so a relationship can enlarge</w:t>
      </w:r>
      <w:r>
        <w:t xml:space="preserve"> </w:t>
      </w:r>
      <w:r>
        <w:t xml:space="preserve">autonomy or shrink it, and what matters is its shape. The apparent choice between being mediated and being</w:t>
      </w:r>
      <w:r>
        <w:t xml:space="preserve"> </w:t>
      </w:r>
      <w:r>
        <w:t xml:space="preserve">autonomous dissolves: a well-shaped mediation enlarges the coordinated actor’s autonomy, a badly shaped</w:t>
      </w:r>
      <w:r>
        <w:t xml:space="preserve"> </w:t>
      </w:r>
      <w:r>
        <w:t xml:space="preserve">one diminishes 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pasture: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necessary mediation bears coordinative sovereignty.</w:t>
      </w:r>
      <w:r>
        <w:t xml:space="preserve"> </w:t>
      </w:r>
      <w:r>
        <w:t xml:space="preserve">Republican theory has already licensed the move, extending non-domination to corporate bodies while</w:t>
      </w:r>
      <w:r>
        <w:t xml:space="preserve"> </w:t>
      </w:r>
      <w:r>
        <w:t xml:space="preserve">treating a corporate body’s freedom as valuable for the sake of its members (Pettit, 2016). A firm’s</w:t>
      </w:r>
      <w:r>
        <w:t xml:space="preserve"> </w:t>
      </w:r>
      <w:r>
        <w:t xml:space="preserve">coordinative sovereignty matters because of what it secures for the people who make it up. Where the two</w:t>
      </w:r>
      <w:r>
        <w:t xml:space="preserve"> </w:t>
      </w:r>
      <w:r>
        <w:t xml:space="preserve">diverge, the members’ standing governs, and a reader may decline that priority and keep the rest. The</w:t>
      </w:r>
      <w:r>
        <w:t xml:space="preserve"> </w:t>
      </w:r>
      <w:r>
        <w:t xml:space="preserve">construct is one;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structural: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 necessary mediation outlives the question of who holds the title. E. Anderson (2017) makes the</w:t>
      </w:r>
      <w:r>
        <w:t xml:space="preserve"> </w:t>
      </w:r>
      <w:r>
        <w:t xml:space="preserve">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not worker rights or consumer protection, though it bears on both. Rights and</w:t>
      </w:r>
      <w:r>
        <w:t xml:space="preserve"> </w:t>
      </w:r>
      <w:r>
        <w:t xml:space="preserve">protections are guarantees against a mediator’s conduct;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The construct takes the mediation as given, often as necessary, and asks what autonomy is possible</w:t>
      </w:r>
      <w:r>
        <w:t xml:space="preserve"> </w:t>
      </w:r>
      <w:r>
        <w:t xml:space="preserve">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precondition: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 where a mediator’s position is contingent, held by lock-in. Against a</w:t>
      </w:r>
      <w:r>
        <w:t xml:space="preserve"> </w:t>
      </w:r>
      <w:r>
        <w:t xml:space="preserve">necessary mediator the same instrument does something else entirely: a right to interoperate with a</w:t>
      </w:r>
      <w:r>
        <w:t xml:space="preserve"> </w:t>
      </w:r>
      <w:r>
        <w:t xml:space="preserve">facility no one can bypass does not let the actor leave; it forces the mediator to grant access on</w:t>
      </w:r>
      <w:r>
        <w:t xml:space="preserve"> </w:t>
      </w:r>
      <w:r>
        <w:t xml:space="preserve">regulated terms. That is a voice instrument, and competition law has long understood it as one under the</w:t>
      </w:r>
      <w:r>
        <w:t xml:space="preserve"> </w:t>
      </w:r>
      <w:r>
        <w:t xml:space="preserve">essential-facilities logic it applies to infrastructure that cannot be duplicated. The Digital Markets</w:t>
      </w:r>
      <w:r>
        <w:t xml:space="preserve"> </w:t>
      </w:r>
      <w:r>
        <w:t xml:space="preserve">Act’s access and interoperability obligations carry the logic into platform regulation. Reviewing the Act’s</w:t>
      </w:r>
      <w:r>
        <w:t xml:space="preserve"> </w:t>
      </w:r>
      <w:r>
        <w:t xml:space="preserve">first years, the European Commission (2026) reports that messaging interoperability has brought new</w:t>
      </w:r>
      <w:r>
        <w:t xml:space="preserve"> </w:t>
      </w:r>
      <w:r>
        <w:t xml:space="preserve">providers into the market, including a European SME, while judging it too early to extend the same</w:t>
      </w:r>
      <w:r>
        <w:t xml:space="preserve"> </w:t>
      </w:r>
      <w:r>
        <w:t xml:space="preserve">obligation to social networking: an external study there showed mixed evidence, greater technical</w:t>
      </w:r>
      <w:r>
        <w:t xml:space="preserve"> </w:t>
      </w:r>
      <w:r>
        <w:t xml:space="preserve">complexity, and limited demand. A regulator sorting functions by whether interoperability bites is running</w:t>
      </w:r>
      <w:r>
        <w:t xml:space="preserve"> </w:t>
      </w:r>
      <w:r>
        <w:t xml:space="preserve">the diagnostic under another name.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case: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heard;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A data trust can supply the collective leverage that makes a</w:t>
      </w:r>
      <w:r>
        <w:t xml:space="preserve"> </w:t>
      </w:r>
      <w:r>
        <w:t xml:space="preserve">bargaining unit’s demands credible, and the data it pools can feed the audits that give contestation its</w:t>
      </w:r>
      <w:r>
        <w:t xml:space="preserve"> </w:t>
      </w:r>
      <w:r>
        <w:t xml:space="preserve">evidence. An interoperability mandate aimed at the contingent functions relieves pressure on the necessary</w:t>
      </w:r>
      <w:r>
        <w:t xml:space="preserve"> </w:t>
      </w:r>
      <w:r>
        <w:t xml:space="preserve">ones by giving the actor somewhere else to go for what can be gotten elsewhere. No single instrument is</w:t>
      </w:r>
      <w:r>
        <w:t xml:space="preserve"> </w:t>
      </w:r>
      <w:r>
        <w:t xml:space="preserve">likely to deliver coordinative sovereignty: it is the cumulative standing a stack of such institutions</w:t>
      </w:r>
      <w:r>
        <w:t xml:space="preserve"> </w:t>
      </w:r>
      <w:r>
        <w:t xml:space="preserve">confers, and the diagnostic that places each one also splits what current research treats as a single</w:t>
      </w:r>
      <w:r>
        <w:t xml:space="preserve"> </w:t>
      </w:r>
      <w:r>
        <w:t xml:space="preserve">organizational capability.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Fratini et al. (2024), Hummel et al. (2021), and Schmuntzsch et al. (2025) operationalize organizational</w:t>
      </w:r>
      <w:r>
        <w:t xml:space="preserve"> </w:t>
      </w:r>
      <w:r>
        <w:t xml:space="preserve">digital sovereignty as one capability built from regulatory and infrastructural components.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code, whereas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first strand is high digital sovereignty beside low coordinative sovereignty. An application developer</w:t>
      </w:r>
      <w:r>
        <w:t xml:space="preserve"> </w:t>
      </w:r>
      <w:r>
        <w:t xml:space="preserve">or a marketplace seller can own its code and data, hold data-portability rights, and comply fully with the</w:t>
      </w:r>
      <w:r>
        <w:t xml:space="preserve"> </w:t>
      </w:r>
      <w:r>
        <w:t xml:space="preserve">GDPR and the Digital Markets Act, and still hold no leverage over the ranking and review algorithms that</w:t>
      </w:r>
      <w:r>
        <w:t xml:space="preserve"> </w:t>
      </w:r>
      <w:r>
        <w:t xml:space="preserve">set its visibility (Cutolo &amp; Kenney, 2021). Enforcement has reached platform conduct without reaching that</w:t>
      </w:r>
      <w:r>
        <w:t xml:space="preserve"> </w:t>
      </w:r>
      <w:r>
        <w:t xml:space="preserve">layer: the European Commission fined Apple €500 million in April 2025 for restricting how developers steer</w:t>
      </w:r>
      <w:r>
        <w:t xml:space="preserve"> </w:t>
      </w:r>
      <w:r>
        <w:t xml:space="preserve">users to offers outside its App Store (European Commission, 2025b), a decision Apple has appealed (Case</w:t>
      </w:r>
      <w:r>
        <w:t xml:space="preserve"> </w:t>
      </w:r>
      <w:r>
        <w:t xml:space="preserve">T-438/25). Ranking transparency is a separate and earlier obligation, set by the 2019 Platform-to-Business</w:t>
      </w:r>
      <w:r>
        <w:t xml:space="preserve"> </w:t>
      </w:r>
      <w:r>
        <w:t xml:space="preserve">Regulation and the Digital Services Act. That Regulation does more than disclose, since it also requires</w:t>
      </w:r>
      <w:r>
        <w:t xml:space="preserve"> </w:t>
      </w:r>
      <w:r>
        <w:t xml:space="preserve">internal complaint-handling, offers mediation, and gives representative organizations standing to bring</w:t>
      </w:r>
      <w:r>
        <w:t xml:space="preserve"> </w:t>
      </w:r>
      <w:r>
        <w:t xml:space="preserve">proceedings, which makes it one of the few instruments to attach a channel to a disclosure. The Commission</w:t>
      </w:r>
      <w:r>
        <w:t xml:space="preserve"> </w:t>
      </w:r>
      <w:r>
        <w:t xml:space="preserve">has since proposed to repeal it as part of a wider simplification package (European Commission, 2025a),</w:t>
      </w:r>
      <w:r>
        <w:t xml:space="preserve"> </w:t>
      </w:r>
      <w:r>
        <w:t xml:space="preserve">which would remove the only duty in European law to disclose the main parameters of ranking to the</w:t>
      </w:r>
      <w:r>
        <w:t xml:space="preserve"> </w:t>
      </w:r>
      <w:r>
        <w:t xml:space="preserve">business users being ranked. The Digital Services Act’s recommender transparency runs to a platform’s</w:t>
      </w:r>
      <w:r>
        <w:t xml:space="preserve"> </w:t>
      </w:r>
      <w:r>
        <w:t xml:space="preserve">users and does not replace that duty. That is high digital sovereignty beside low coordinative sovereignty,</w:t>
      </w:r>
      <w:r>
        <w:t xml:space="preserve"> </w:t>
      </w:r>
      <w:r>
        <w:t xml:space="preserve">and an instrument that built a little of the second now proposed for withdrawal.</w:t>
      </w:r>
    </w:p>
    <w:p>
      <w:pPr>
        <w:pStyle w:val="BodyText"/>
      </w:pPr>
      <w:r>
        <w:t xml:space="preserve">A second, related but reverse, strand is still arriving: a platform worker owns none of the infrastructure</w:t>
      </w:r>
      <w:r>
        <w:t xml:space="preserve"> </w:t>
      </w:r>
      <w:r>
        <w:t xml:space="preserve">that coordinates the work. Under the European platform-work directive, member states must by 2 December</w:t>
      </w:r>
      <w:r>
        <w:t xml:space="preserve"> </w:t>
      </w:r>
      <w:r>
        <w:t xml:space="preserve">2026 write in information rights over the automated systems, human review of consequential automated</w:t>
      </w:r>
      <w:r>
        <w:t xml:space="preserve"> </w:t>
      </w:r>
      <w:r>
        <w:t xml:space="preserve">decisions, and limits on the data the platform may process (European Parliament &amp; Council of the European</w:t>
      </w:r>
      <w:r>
        <w:t xml:space="preserve"> </w:t>
      </w:r>
      <w:r>
        <w:t xml:space="preserve">Union, 2024). No member state had fully transposed the directive as this chapter was written, so the</w:t>
      </w:r>
      <w:r>
        <w:t xml:space="preserve"> </w:t>
      </w:r>
      <w:r>
        <w:t xml:space="preserve">standing it describes is a legislative commitment, not yet a present fact. The same directive’s rebuttable</w:t>
      </w:r>
      <w:r>
        <w:t xml:space="preserve"> </w:t>
      </w:r>
      <w:r>
        <w:t xml:space="preserve">presumption of employment, where the platform controls the work, is a different instrument. Where it bites</w:t>
      </w:r>
      <w:r>
        <w:t xml:space="preserve"> </w:t>
      </w:r>
      <w:r>
        <w:t xml:space="preserve">it may move the worker out of a mediated triad and into a hierarchy, which changes the coordination form</w:t>
      </w:r>
      <w:r>
        <w:t xml:space="preserve"> </w:t>
      </w:r>
      <w:r>
        <w:t xml:space="preserve">rather than conferring standing inside it. Article 25 is the voice clause: it obliges member states to</w:t>
      </w:r>
      <w:r>
        <w:t xml:space="preserve"> </w:t>
      </w:r>
      <w:r>
        <w:t xml:space="preserve">promote collective bargaining in platform work, including measures</w:t>
      </w:r>
      <w:r>
        <w:t xml:space="preserve"> </w:t>
      </w:r>
      <w:r>
        <w:t xml:space="preserve">“to facilitate the exercise of their</w:t>
      </w:r>
      <w:r>
        <w:t xml:space="preserve"> </w:t>
      </w:r>
      <w:r>
        <w:t xml:space="preserve">rights related to algorithmic management set out in Chapter III.”</w:t>
      </w:r>
      <w:r>
        <w:t xml:space="preserve"> </w:t>
      </w:r>
      <w:r>
        <w:t xml:space="preserve">A legislature there ties collective</w:t>
      </w:r>
      <w:r>
        <w:t xml:space="preserve"> </w:t>
      </w:r>
      <w:r>
        <w:t xml:space="preserve">voice directly to standing over algorithmic coordination, which is coordinative sovereignty written into</w:t>
      </w:r>
      <w:r>
        <w:t xml:space="preserve"> </w:t>
      </w:r>
      <w:r>
        <w:t xml:space="preserve">law. Member states are building that standing while control of the infrastructure stays 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does not acquire standing over the algorithmic determinations</w:t>
      </w:r>
      <w:r>
        <w:t xml:space="preserve"> </w:t>
      </w:r>
      <w:r>
        <w:t xml:space="preserve">that set its market outcomes. The exposure is an algorithmacy gap, and the diagnostic gives managers a</w:t>
      </w:r>
      <w:r>
        <w:t xml:space="preserve"> </w:t>
      </w:r>
      <w:r>
        <w:t xml:space="preserve">decision procedure for it. Where the firm depends on a contingent mediator, the move is toward exit:</w:t>
      </w:r>
      <w:r>
        <w:t xml:space="preserve"> </w:t>
      </w:r>
      <w:r>
        <w:t xml:space="preserve">support interoperability, build or back an alternative, break the lock-in. Where it depends on a necessary</w:t>
      </w:r>
      <w:r>
        <w:t xml:space="preserve"> </w:t>
      </w:r>
      <w:r>
        <w:t xml:space="preserve">mediator, exit is closed and the move is toward voice: organize with other dependent firms, pool data,</w:t>
      </w:r>
      <w:r>
        <w:t xml:space="preserve"> </w:t>
      </w:r>
      <w:r>
        <w:t xml:space="preserve">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If algorithmacy enables coordinative sovereignty, and algorithmacy can be built, then a firm’s standing</w:t>
      </w:r>
      <w:r>
        <w:t xml:space="preserve"> </w:t>
      </w:r>
      <w:r>
        <w:t xml:space="preserve">within its platform dependencies is a capability problem. The inferential capacity to model the systems</w:t>
      </w:r>
      <w:r>
        <w:t xml:space="preserve"> </w:t>
      </w:r>
      <w:r>
        <w:t xml:space="preserve">that coordinate it, the translational capacity to render its conduct into the terms those systems read,</w:t>
      </w:r>
      <w:r>
        <w:t xml:space="preserve"> </w:t>
      </w:r>
      <w:r>
        <w:t xml:space="preserve">and the temporal capacity to hold a course as the systems change can each be trained, budgeted, and</w:t>
      </w:r>
      <w:r>
        <w:t xml:space="preserve"> </w:t>
      </w:r>
      <w:r>
        <w:t xml:space="preserve">audited the way compliance now is. None of it will show up on a 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two constructs also reframe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infrastructure;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two sovereignties do not track each other; whether a firm is high on one and low on the other is now a</w:t>
      </w:r>
      <w:r>
        <w:t xml:space="preserve"> </w:t>
      </w:r>
      <w:r>
        <w:t xml:space="preserve">measurement question.</w:t>
      </w:r>
    </w:p>
    <w:p>
      <w:pPr>
        <w:pStyle w:val="BodyText"/>
      </w:pPr>
      <w:r>
        <w:t xml:space="preserve">The first direction, a validated instrument for algorithmacy, faces a central difficulty of discriminant</w:t>
      </w:r>
      <w:r>
        <w:t xml:space="preserve"> </w:t>
      </w:r>
      <w:r>
        <w:t xml:space="preserve">validity against a construct that already exists, even though its three dimensions point to a</w:t>
      </w:r>
      <w:r>
        <w:t xml:space="preserve"> </w:t>
      </w:r>
      <w:r>
        <w:t xml:space="preserve">multidimensional scale. DeVito’s (2021) adaptive folk theorization covers awareness, strategic use, and</w:t>
      </w:r>
      <w:r>
        <w:t xml:space="preserve"> </w:t>
      </w:r>
      <w:r>
        <w:t xml:space="preserve">revision over time, and algorithm-literacy scales already measure awareness that algorithms operate and</w:t>
      </w:r>
      <w:r>
        <w:t xml:space="preserve"> </w:t>
      </w:r>
      <w:r>
        <w:t xml:space="preserve">knowledge of how they work in principle (Dogruel et al., 2022). An algorithmacy scale would have to show</w:t>
      </w:r>
      <w:r>
        <w:t xml:space="preserve"> </w:t>
      </w:r>
      <w:r>
        <w:t xml:space="preserve">that it captures what those do not: competence exercised on a counterpart and a system at once, where the</w:t>
      </w:r>
      <w:r>
        <w:t xml:space="preserve"> </w:t>
      </w:r>
      <w:r>
        <w:t xml:space="preserve">system is scoring the actor on how the coordination with the counterpart goes. Because self-reported</w:t>
      </w:r>
      <w:r>
        <w:t xml:space="preserve"> </w:t>
      </w:r>
      <w:r>
        <w:t xml:space="preserve">competence invites over-confidence, such an instrument should be anchored to a behavioral criterion, for</w:t>
      </w:r>
      <w:r>
        <w:t xml:space="preserve"> </w:t>
      </w:r>
      <w:r>
        <w:t xml:space="preserve">example the accuracy of an actor’s predictions of how a system will treat a set of moves, scored against</w:t>
      </w:r>
      <w:r>
        <w:t xml:space="preserve"> </w:t>
      </w:r>
      <w:r>
        <w:t xml:space="preserve">the system’s behavior.</w:t>
      </w:r>
    </w:p>
    <w:p>
      <w:pPr>
        <w:pStyle w:val="BodyText"/>
      </w:pPr>
      <w:r>
        <w:t xml:space="preserve">The second direction, a validated instrument for coordinative sovereignty, would have to measure standing</w:t>
      </w:r>
      <w:r>
        <w:t xml:space="preserve"> </w:t>
      </w:r>
      <w:r>
        <w:t xml:space="preserve">— freedom from the mediator’s arbitrary power, effective voice over the terms of mediation, and a share in</w:t>
      </w:r>
      <w:r>
        <w:t xml:space="preserve"> </w:t>
      </w:r>
      <w:r>
        <w:t xml:space="preserve">the coordination’s governance — under the condition that defines the construct: a necessary mediation, an</w:t>
      </w:r>
      <w:r>
        <w:t xml:space="preserve"> </w:t>
      </w:r>
      <w:r>
        <w:t xml:space="preserve">arrangement the open tie does not dissolve. Lock-in under a contingent gate is involuntary retention, and</w:t>
      </w:r>
      <w:r>
        <w:t xml:space="preserve"> </w:t>
      </w:r>
      <w:r>
        <w:t xml:space="preserve">it belongs to the exit column. The nearest validated construct is psychological empowerment (Spreitzer,</w:t>
      </w:r>
      <w:r>
        <w:t xml:space="preserve"> </w:t>
      </w:r>
      <w:r>
        <w:t xml:space="preserve">1995), and the task is to show that standing within a mediation the actor cannot bypass differs from felt</w:t>
      </w:r>
      <w:r>
        <w:t xml:space="preserve"> </w:t>
      </w:r>
      <w:r>
        <w:t xml:space="preserve">empowerment inside an organization one could leave, and differs again from standing withheld by switching</w:t>
      </w:r>
      <w:r>
        <w:t xml:space="preserve"> </w:t>
      </w:r>
      <w:r>
        <w:t xml:space="preserve">costs alone. Republican theory offers a usable test item in the form of the question whether an actor can</w:t>
      </w:r>
      <w:r>
        <w:t xml:space="preserve"> </w:t>
      </w:r>
      <w:r>
        <w:t xml:space="preserve">look the mediator in the eye and speak plainly, without needing to ingratiate or to avoid provoking a</w:t>
      </w:r>
      <w:r>
        <w:t xml:space="preserve"> </w:t>
      </w:r>
      <w:r>
        <w:t xml:space="preserve">power that could retaliate. Because the construct has both an individual and an organizational bearer, the</w:t>
      </w:r>
      <w:r>
        <w:t xml:space="preserve"> </w:t>
      </w:r>
      <w:r>
        <w:t xml:space="preserve">instrument needs a form at each level, and their correspondence is itself a question.</w:t>
      </w:r>
    </w:p>
    <w:p>
      <w:pPr>
        <w:pStyle w:val="BodyText"/>
      </w:pPr>
      <w:r>
        <w:t xml:space="preserve">The third direction is the two-step design the diagnostic affords: because the necessary/contingent</w:t>
      </w:r>
      <w:r>
        <w:t xml:space="preserve"> </w:t>
      </w:r>
      <w:r>
        <w:t xml:space="preserve">distinction can be applied to a modeled coordination, a study could classify the mediators an organization</w:t>
      </w:r>
      <w:r>
        <w:t xml:space="preserve"> </w:t>
      </w:r>
      <w:r>
        <w:t xml:space="preserve">depends on before measuring the organization’s response, and then ask whether the response fits the</w:t>
      </w:r>
      <w:r>
        <w:t xml:space="preserve"> </w:t>
      </w:r>
      <w:r>
        <w:t xml:space="preserve">mediator type, exit-seeking against contingent gates and voice-building against necessary ones. A firm’s</w:t>
      </w:r>
      <w:r>
        <w:t xml:space="preserve"> </w:t>
      </w:r>
      <w:r>
        <w:t xml:space="preserve">coordinative sovereignty is then not only how much standing it holds but whether it holds the right kind,</w:t>
      </w:r>
      <w:r>
        <w:t xml:space="preserve"> </w:t>
      </w:r>
      <w:r>
        <w:t xml:space="preserve">and misallocation becomes a measurable predictor of poor outcomes.</w:t>
      </w:r>
    </w:p>
    <w:p>
      <w:pPr>
        <w:pStyle w:val="BodyText"/>
      </w:pPr>
      <w:r>
        <w:t xml:space="preserve">The fourth direction is the correspondence between reported and afforded standing, operationalized twice:</w:t>
      </w:r>
      <w:r>
        <w:t xml:space="preserve"> </w:t>
      </w:r>
      <w:r>
        <w:t xml:space="preserve">as a survey of the standing an actor reports, and as a structural property of a formal model of the</w:t>
      </w:r>
      <w:r>
        <w:t xml:space="preserve"> </w:t>
      </w:r>
      <w:r>
        <w:t xml:space="preserve">actor’s coordination, developed in the companion paper (Author, 2026). Whether actors who report high</w:t>
      </w:r>
      <w:r>
        <w:t xml:space="preserve"> </w:t>
      </w:r>
      <w:r>
        <w:t xml:space="preserve">coordinative sovereignty are those a model would place as pivotal is a construct-validity test a</w:t>
      </w:r>
      <w:r>
        <w:t xml:space="preserve"> </w:t>
      </w:r>
      <w:r>
        <w:t xml:space="preserve">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account;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read: it enrolls the coordinated actor into</w:t>
      </w:r>
      <w:r>
        <w:t xml:space="preserve"> </w:t>
      </w:r>
      <w:r>
        <w:t xml:space="preserve">a system that interprets it and commits its outcomes. The competence equal to that medium is algorithmacy.</w:t>
      </w:r>
      <w:r>
        <w:t xml:space="preserve"> </w:t>
      </w:r>
      <w:r>
        <w:t xml:space="preserve">Where a mediator still binds after the parties can reach each other, the standing that competence can make</w:t>
      </w:r>
      <w:r>
        <w:t xml:space="preserve"> </w:t>
      </w:r>
      <w:r>
        <w:t xml:space="preserve">effective is coordinative sovereignty: voice within that mediation, carried far enough to be a share in how</w:t>
      </w:r>
      <w:r>
        <w:t xml:space="preserve"> </w:t>
      </w:r>
      <w:r>
        <w:t xml:space="preserve">the 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Coordinative sovereignty</w:t>
      </w:r>
      <w:r>
        <w:t xml:space="preserve"> </w:t>
      </w:r>
      <w:r>
        <w:t xml:space="preserve">is not reading, and it is not control of the infrastructure. It requires the standing of the coordinated</w:t>
      </w:r>
      <w:r>
        <w:t xml:space="preserve"> </w:t>
      </w:r>
      <w:r>
        <w:t xml:space="preserve">to govern the coordinations that govern them, and the diffusion of the competence that standing requires.</w:t>
      </w:r>
      <w:r>
        <w:t xml:space="preserve"> </w:t>
      </w:r>
      <w:r>
        <w:t xml:space="preserve">Neither reading alone nor control 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political concept of digital sovereignty, understood as the capacity of a</w:t>
      </w:r>
      <w:r>
        <w:t xml:space="preserve"> </w:t>
      </w:r>
      <w:r>
        <w:t xml:space="preserve">state, organization, or community to exercise control over its digital infrastructure, data, and</w:t>
      </w:r>
      <w:r>
        <w:t xml:space="preserve"> </w:t>
      </w:r>
      <w:r>
        <w:t xml:space="preserve">technologies, is in its regulatory strand a literacy-based form of governance, attained by reading and</w:t>
      </w:r>
      <w:r>
        <w:t xml:space="preserve"> </w:t>
      </w:r>
      <w:r>
        <w:t xml:space="preserve">holding to account what a digital system discloses, whereas its industrial strand works by jurisdiction</w:t>
      </w:r>
      <w:r>
        <w:t xml:space="preserve"> </w:t>
      </w:r>
      <w:r>
        <w:t xml:space="preserve">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political concept of coordinative sovereignty, understood as the</w:t>
      </w:r>
      <w:r>
        <w:t xml:space="preserve"> </w:t>
      </w:r>
      <w:r>
        <w:t xml:space="preserve">autonomy proper to a necessary mediation, is the standing to shape the terms on which one is mediated, to</w:t>
      </w:r>
      <w:r>
        <w:t xml:space="preserve"> </w:t>
      </w:r>
      <w:r>
        <w:t xml:space="preserve">contest the mediator’s arbitrary power, and to hold a share in the governance of an arrangement the open</w:t>
      </w:r>
      <w:r>
        <w:t xml:space="preserve"> </w:t>
      </w:r>
      <w:r>
        <w:t xml:space="preserve">tie does not dissolve. Its currency is effective voice. It is borne by whatever actor occupies that</w:t>
      </w:r>
      <w:r>
        <w:t xml:space="preserve"> </w:t>
      </w:r>
      <w:r>
        <w:t xml:space="preserve">relation, individual or organizational. Irreducibility as the coordination is currently wired does not by</w:t>
      </w:r>
      <w:r>
        <w:t xml:space="preserve"> </w:t>
      </w:r>
      <w:r>
        <w:t xml:space="preserve">itself establish necessity.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of algorithmacy, understood as the capacity through which an actor</w:t>
      </w:r>
      <w:r>
        <w:t xml:space="preserve"> </w:t>
      </w:r>
      <w:r>
        <w:t xml:space="preserve">coordinates with another party through an algorithmic third party that reads both and commits</w:t>
      </w:r>
      <w:r>
        <w:t xml:space="preserve"> </w:t>
      </w:r>
      <w:r>
        <w:t xml:space="preserve">determinations neither controls, has three parts: inferential (modeling an unseen system), translational</w:t>
      </w:r>
      <w:r>
        <w:t xml:space="preserve"> </w:t>
      </w:r>
      <w:r>
        <w:t xml:space="preserve">(acting in the system’s terms), and temporal (holding a strategy through undisclosed change). What</w:t>
      </w:r>
      <w:r>
        <w:t xml:space="preserve"> </w:t>
      </w:r>
      <w:r>
        <w:t xml:space="preserve">distinguishes it from adjacent literacy constructs is the triadic 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Communicative competence, understood as a capacity for working the medium</w:t>
      </w:r>
      <w:r>
        <w:t xml:space="preserve"> </w:t>
      </w:r>
      <w:r>
        <w:t xml:space="preserve">through which authority is exercised and contested, takes three historical forms — oracy, literacy, and</w:t>
      </w:r>
      <w:r>
        <w:t xml:space="preserve"> </w:t>
      </w:r>
      <w:r>
        <w:t xml:space="preserve">algorithmacy — each paired with a form of 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mediated triad, understood as a coordination in which two parties are bound together</w:t>
      </w:r>
      <w:r>
        <w:t xml:space="preserve"> </w:t>
      </w:r>
      <w:r>
        <w:t xml:space="preserve">through a third party that interprets both and commits outcomes neither controls, is the structural setting</w:t>
      </w:r>
      <w:r>
        <w:t xml:space="preserve"> </w:t>
      </w:r>
      <w:r>
        <w:t xml:space="preserve">of platform enrollment.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Co-optation, understood as the enrollment of an actor into a coordination authored by an</w:t>
      </w:r>
      <w:r>
        <w:t xml:space="preserve"> </w:t>
      </w:r>
      <w:r>
        <w:t xml:space="preserve">interested third party, is in its platform form a narrowing of what Selznick called formal co-optation,</w:t>
      </w:r>
      <w:r>
        <w:t xml:space="preserve"> </w:t>
      </w:r>
      <w:r>
        <w:t xml:space="preserve">which preserved the forms of participation while withholding real power; platform enrollment withholds the</w:t>
      </w:r>
      <w:r>
        <w:t xml:space="preserve"> </w:t>
      </w:r>
      <w:r>
        <w:t xml:space="preserve">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bypass test, understood as the counterfactual that sorts mediators, restores the</w:t>
      </w:r>
      <w:r>
        <w:t xml:space="preserve"> </w:t>
      </w:r>
      <w:r>
        <w:t xml:space="preserve">direct tie between the two parties a mediator stands between, the tie strict mediation forbids, and</w:t>
      </w:r>
      <w:r>
        <w:t xml:space="preserve"> </w:t>
      </w:r>
      <w:r>
        <w:t xml:space="preserve">recomputes whether the mediator still binds. The test operates on a tie, which distinguishes it from tests</w:t>
      </w:r>
      <w:r>
        <w:t xml:space="preserve"> </w:t>
      </w:r>
      <w:r>
        <w:t xml:space="preserve">that ask whether a mediator could be removed 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necessary mediator, understood as a mediator that remains constitutive of a</w:t>
      </w:r>
      <w:r>
        <w:t xml:space="preserve"> </w:t>
      </w:r>
      <w:r>
        <w:t xml:space="preserve">coordination even when the direct tie is restored, occupies its position by integrating work the direct</w:t>
      </w:r>
      <w:r>
        <w:t xml:space="preserve"> </w:t>
      </w:r>
      <w:r>
        <w:t xml:space="preserve">tie cannot reproduce. It cannot be 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contingent mediator, understood as a mediator that ceases to bind when the</w:t>
      </w:r>
      <w:r>
        <w:t xml:space="preserve"> </w:t>
      </w:r>
      <w:r>
        <w:t xml:space="preserve">direct tie is restored, occupied its position by that tie’s absence, usually held in place by an external</w:t>
      </w:r>
      <w:r>
        <w:t xml:space="preserve"> </w:t>
      </w:r>
      <w:r>
        <w:t xml:space="preserve">constraint such as a law or a contract. It 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partial mediator, understood as a mediator that keeps a constitutive role under</w:t>
      </w:r>
      <w:r>
        <w:t xml:space="preserve"> </w:t>
      </w:r>
      <w:r>
        <w:t xml:space="preserve">the open tie while losing part of its integration, combines real integrating work with a bypassable gate.</w:t>
      </w:r>
      <w:r>
        <w:t xml:space="preserve"> </w:t>
      </w:r>
      <w:r>
        <w:t xml:space="preserve">Exit is available against the bypassable 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reducible mediator, understood as a mediator that was never in the</w:t>
      </w:r>
      <w:r>
        <w:t xml:space="preserve"> </w:t>
      </w:r>
      <w:r>
        <w:t xml:space="preserve">coordination’s core, is one the parties can already deal around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Exit and voice, understood as Hirschman’s two responses to a declining relationship,</w:t>
      </w:r>
      <w:r>
        <w:t xml:space="preserve"> </w:t>
      </w:r>
      <w:r>
        <w:t xml:space="preserve">are leaving it, or staying and pressing for change. Exit is available against a contingent mediator; only</w:t>
      </w:r>
      <w:r>
        <w:t xml:space="preserve"> </w:t>
      </w:r>
      <w:r>
        <w:t xml:space="preserve">voice remains against a necessary 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political concept of non-domination, understood as the republican conception of</w:t>
      </w:r>
      <w:r>
        <w:t xml:space="preserve"> </w:t>
      </w:r>
      <w:r>
        <w:t xml:space="preserve">freedom as the absence of another’s arbitrary power, is a stronger condition than the absence of</w:t>
      </w:r>
      <w:r>
        <w:t xml:space="preserve"> </w:t>
      </w:r>
      <w:r>
        <w:t xml:space="preserve">interference. A coordinated actor is dominated to the degree the mediator’s power over it is unconstrained</w:t>
      </w:r>
      <w:r>
        <w:t xml:space="preserve"> </w:t>
      </w:r>
      <w:r>
        <w:t xml:space="preserve">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Irreducibility, understood as the property of a coordination that does not factor</w:t>
      </w:r>
      <w:r>
        <w:t xml:space="preserve"> </w:t>
      </w:r>
      <w:r>
        <w:t xml:space="preserve">into separable parts, describes a coordination as it stands: a triadic coordination binds its parties into</w:t>
      </w:r>
      <w:r>
        <w:t xml:space="preserve"> </w:t>
      </w:r>
      <w:r>
        <w:t xml:space="preserve">a joint determination no division into parts recovers, and that fact does not by itself establish that a</w:t>
      </w:r>
      <w:r>
        <w:t xml:space="preserve"> </w:t>
      </w:r>
      <w:r>
        <w:t xml:space="preserve">mediator is necessary.</w:t>
      </w:r>
    </w:p>
    <w:bookmarkEnd w:id="34"/>
    <w:bookmarkEnd w:id="35"/>
    <w:sectPr>
      <w:headerReference xmlns:r="http://schemas.openxmlformats.org/officeDocument/2006/relationships" r:id="rIdHeaderPage" w:type="default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pPr>
      <w:keepNext/>
      <w:spacing w:after="0" w:before="240" w:line="480" w:lineRule="auto"/>
      <w:jc w:val="center"/>
    </w:pPr>
    <w:rPr>
      <w:rFonts w:ascii="Times New Roman" w:hAnsi="Times New Roman"/>
      <w:b/>
      <w:sz w:val="24"/>
      <w:szCs w:val="24"/>
    </w:rPr>
  </w:style>
  <w:style w:styleId="Heading2" w:type="paragraph">
    <w:name w:val="heading 2"/>
    <w:basedOn w:val="Normal"/>
    <w:pPr>
      <w:keepNext/>
      <w:spacing w:after="0" w:before="240" w:line="480" w:lineRule="auto"/>
    </w:pPr>
    <w:rPr>
      <w:rFonts w:ascii="Times New Roman" w:hAnsi="Times New Roman"/>
      <w:b/>
      <w:sz w:val="24"/>
      <w:szCs w:val="24"/>
    </w:rPr>
  </w:style>
  <w:style w:styleId="Heading3" w:type="paragraph">
    <w:name w:val="heading 3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4" w:type="paragraph">
    <w:name w:val="heading 4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Page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2026-08-18T13:27:01Z</dcterms:created>
  <dcterms:modified xsi:type="dcterms:W3CDTF">2026-08-18T13:27:01Z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