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5b0aae067f3fdcb7dae2cf80b9cbda23cad579f"/>
    <w:p>
      <w:pPr>
        <w:pStyle w:val="Heading1"/>
      </w:pPr>
      <w:r>
        <w:t xml:space="preserve">The Third Nobody Chose:</w:t>
      </w:r>
      <w:r>
        <w:t xml:space="preserve"> </w:t>
      </w:r>
      <w:r>
        <w:rPr>
          <w:i/>
          <w:iCs/>
        </w:rPr>
        <w:t xml:space="preserve">Slacker</w:t>
      </w:r>
      <w:r>
        <w:t xml:space="preserve">, and a City That Coordinated Without Employing</w:t>
      </w:r>
    </w:p>
    <w:bookmarkStart w:id="9" w:name="roger-hunt-bentley-university"/>
    <w:p>
      <w:pPr>
        <w:pStyle w:val="Heading4"/>
      </w:pPr>
      <w:r>
        <w:t xml:space="preserve">Roger Hunt, Bentley University</w:t>
      </w:r>
    </w:p>
    <w:bookmarkEnd w:id="9"/>
    <w:bookmarkStart w:id="13" w:name="the-third-nobody-chose"/>
    <w:p>
      <w:pPr>
        <w:pStyle w:val="Heading2"/>
      </w:pPr>
      <w:r>
        <w:t xml:space="preserve">1. The third nobody chose</w:t>
      </w:r>
    </w:p>
    <w:p>
      <w:pPr>
        <w:pStyle w:val="FirstParagraph"/>
      </w:pPr>
      <w:r>
        <w:rPr>
          <w:i/>
          <w:iCs/>
        </w:rPr>
        <w:t xml:space="preserve">Slacker</w:t>
      </w:r>
      <w:r>
        <w:t xml:space="preserve"> </w:t>
      </w:r>
      <w:r>
        <w:t xml:space="preserve">follows roughly a hundred people through one day in Austin and gives none of them a plot. They talk, walk out of the shot, and do not return; most of them never meet. Nothing in the film comes back around, and nothing resolves, yet audiences stay with it. Critics usually stop at the camera, observing that it joins what the characters do not — a formulation that names the joiner without saying what kind of coordinator a camera is.</w:t>
      </w:r>
    </w:p>
    <w:p>
      <w:pPr>
        <w:pStyle w:val="BodyText"/>
      </w:pPr>
      <w:r>
        <w:t xml:space="preserve">Of the four answers sociology can give to that question, only one fits the film. In the triad chapter of his</w:t>
      </w:r>
      <w:r>
        <w:t xml:space="preserve"> </w:t>
      </w:r>
      <w:r>
        <w:rPr>
          <w:i/>
          <w:iCs/>
        </w:rPr>
        <w:t xml:space="preserve">Soziologie</w:t>
      </w:r>
      <w:r>
        <w:t xml:space="preserve">, Simmel describes the non-partisan and the mediator, who repair a relation between two known parties; the</w:t>
      </w:r>
      <w:r>
        <w:t xml:space="preserve"> </w:t>
      </w:r>
      <w:r>
        <w:rPr>
          <w:i/>
          <w:iCs/>
        </w:rPr>
        <w:t xml:space="preserve">tertius gaudens</w:t>
      </w:r>
      <w:r>
        <w:t xml:space="preserve">, who profits by standing between them; and</w:t>
      </w:r>
      <w:r>
        <w:t xml:space="preserve"> </w:t>
      </w:r>
      <w:r>
        <w:rPr>
          <w:i/>
          <w:iCs/>
        </w:rPr>
        <w:t xml:space="preserve">divide et impera</w:t>
      </w:r>
      <w:r>
        <w:t xml:space="preserve">, who sets them against each other in order to rule both.</w:t>
      </w:r>
      <w:r>
        <w:rPr>
          <w:rStyle w:val="FootnoteReference"/>
        </w:rPr>
        <w:footnoteReference w:id="10"/>
      </w:r>
      <w:r>
        <w:t xml:space="preserve"> </w:t>
      </w:r>
      <w:r>
        <w:t xml:space="preserve">Each of those three acts on a particular pair and knows who the two parties are. On the same chapter’s first page he names a fourth kind that is different in kind: isolated elements, he writes, can be drawn together</w:t>
      </w:r>
      <w:r>
        <w:t xml:space="preserve"> </w:t>
      </w:r>
      <w:r>
        <w:t xml:space="preserve">“by their common relation to a phenomenon which lies outside of them,”</w:t>
      </w:r>
      <w:r>
        <w:t xml:space="preserve"> </w:t>
      </w:r>
      <w:r>
        <w:t xml:space="preserve">his examples being an alliance against a common enemy and the invisible church. He then sets the case aside mid-paragraph. The group-forming mediation of a third element, he says,</w:t>
      </w:r>
      <w:r>
        <w:t xml:space="preserve"> </w:t>
      </w:r>
      <w:r>
        <w:t xml:space="preserve">“ist indes in späterem Zusammenhang zu behandeln”</w:t>
      </w:r>
      <w:r>
        <w:t xml:space="preserve"> </w:t>
      </w:r>
      <w:r>
        <w:t xml:space="preserve">— is to be treated in a later context.</w:t>
      </w:r>
      <w:r>
        <w:rPr>
          <w:rStyle w:val="FootnoteReference"/>
        </w:rPr>
        <w:footnoteReference w:id="11"/>
      </w:r>
      <w:r>
        <w:t xml:space="preserve"> </w:t>
      </w:r>
      <w:r>
        <w:t xml:space="preserve">This chapter works in that deferral.</w:t>
      </w:r>
    </w:p>
    <w:p>
      <w:pPr>
        <w:pStyle w:val="BodyText"/>
      </w:pPr>
      <w:r>
        <w:rPr>
          <w:i/>
          <w:iCs/>
        </w:rPr>
        <w:t xml:space="preserve">Slacker</w:t>
      </w:r>
      <w:r>
        <w:t xml:space="preserve"> </w:t>
      </w:r>
      <w:r>
        <w:t xml:space="preserve">runs on that deferred third, and the film shows what it looks like from the first cut. A man off an overnight bus rides into Austin and tells his taxi driver about lives he did not choose, each alternative he turned down at the station having, he says, split off and gone on somewhere as its own reality. The driver never answers. One cut later a woman lies in the street, and strangers manage the emergency out loud — one calling an ambulance, one reaching her son by phone, one pressing a card on a witness:</w:t>
      </w:r>
      <w:r>
        <w:t xml:space="preserve"> </w:t>
      </w:r>
      <w:r>
        <w:t xml:space="preserve">“Take my card. Give me a call. … I’d like to hear from you. I mean it.”</w:t>
      </w:r>
      <w:r>
        <w:rPr>
          <w:rStyle w:val="FootnoteReference"/>
        </w:rPr>
        <w:footnoteReference w:id="12"/>
      </w:r>
      <w:r>
        <w:t xml:space="preserve"> </w:t>
      </w:r>
      <w:r>
        <w:t xml:space="preserve">Nothing comes of the offer; he leaves before the police arrive, and a bystander supplies the fact the scene has withheld:</w:t>
      </w:r>
      <w:r>
        <w:t xml:space="preserve"> </w:t>
      </w:r>
      <w:r>
        <w:t xml:space="preserve">“Looks like some guy, uh, ran over his mother.”</w:t>
      </w:r>
      <w:r>
        <w:t xml:space="preserve"> </w:t>
      </w:r>
      <w:r>
        <w:t xml:space="preserve">Between the taxi and the accident there is no audible link. Two strangers who will never learn of each other stand one scene apart, unified by nothing but their common relation to a day, a city, and a camera — and nothing in the brokerage tradition that grew out of Simmel reaches that case. A broker knows both parties and stands between them, and every measure the tradition built is a property of a node between two identified others. A sidewalk knows nobody, and neither does a cut; both coordinate strangers, and neither of them brokers anything.</w:t>
      </w:r>
    </w:p>
    <w:bookmarkEnd w:id="13"/>
    <w:bookmarkStart w:id="21" w:name="a-day-and-a-city-without-contact"/>
    <w:p>
      <w:pPr>
        <w:pStyle w:val="Heading2"/>
      </w:pPr>
      <w:r>
        <w:t xml:space="preserve">2. A day and a city, without contact</w:t>
      </w:r>
    </w:p>
    <w:p>
      <w:pPr>
        <w:pStyle w:val="FirstParagraph"/>
      </w:pPr>
      <w:r>
        <w:t xml:space="preserve">Josiah Royce described the same structure in 1913 from the other side, from the position of people a third has joined. He asked what makes a community rather than a crowd, and his answer does not require that the members meet. A community of memory, he writes, is constituted when each member</w:t>
      </w:r>
      <w:r>
        <w:t xml:space="preserve"> </w:t>
      </w:r>
      <w:r>
        <w:t xml:space="preserve">“accepts as part of his own individual life and self the same past events that each of his fellow-members accepts”</w:t>
      </w:r>
      <w:r>
        <w:t xml:space="preserve">; a community of expectation is the same relation to the same future events.</w:t>
      </w:r>
      <w:r>
        <w:rPr>
          <w:rStyle w:val="FootnoteReference"/>
        </w:rPr>
        <w:footnoteReference w:id="14"/>
      </w:r>
      <w:r>
        <w:t xml:space="preserve"> </w:t>
      </w:r>
      <w:r>
        <w:t xml:space="preserve">His example is two Maori, each of whom says he came over in the canoe Tai-Nui. They are a community with respect to that past, and, Royce adds,</w:t>
      </w:r>
      <w:r>
        <w:t xml:space="preserve"> </w:t>
      </w:r>
      <w:r>
        <w:t xml:space="preserve">“Each may keep aloof from the other. They may be enemies.”</w:t>
      </w:r>
      <w:r>
        <w:rPr>
          <w:rStyle w:val="FootnoteReference"/>
        </w:rPr>
        <w:footnoteReference w:id="15"/>
      </w:r>
    </w:p>
    <w:p>
      <w:pPr>
        <w:pStyle w:val="BodyText"/>
      </w:pPr>
      <w:r>
        <w:t xml:space="preserve">Royce also holds that interpretation — the act that holds such a community together — takes three terms and cannot be built from two.</w:t>
      </w:r>
      <w:r>
        <w:t xml:space="preserve"> </w:t>
      </w:r>
      <w:r>
        <w:t xml:space="preserve">“Interpretation always involves a relation of three terms,”</w:t>
      </w:r>
      <w:r>
        <w:t xml:space="preserve"> </w:t>
      </w:r>
      <w:r>
        <w:t xml:space="preserve">he writes.</w:t>
      </w:r>
      <w:r>
        <w:t xml:space="preserve"> </w:t>
      </w:r>
      <w:r>
        <w:t xml:space="preserve">“In the technical phrase, interpretation is a triadic relation. That is, you cannot express any complete process of interpreting by merely naming two terms.”</w:t>
      </w:r>
      <w:r>
        <w:rPr>
          <w:rStyle w:val="FootnoteReference"/>
        </w:rPr>
        <w:footnoteReference w:id="16"/>
      </w:r>
      <w:r>
        <w:t xml:space="preserve"> </w:t>
      </w:r>
      <w:r>
        <w:t xml:space="preserve">He blocks the obvious repair before anyone offers it: an active synthesis of perception and conception, he says,</w:t>
      </w:r>
      <w:r>
        <w:t xml:space="preserve"> </w:t>
      </w:r>
      <w:r>
        <w:t xml:space="preserve">“does not by itself enable us to define a genuinely triadic classification.”</w:t>
      </w:r>
      <w:r>
        <w:rPr>
          <w:rStyle w:val="FootnoteReference"/>
        </w:rPr>
        <w:footnoteReference w:id="17"/>
      </w:r>
      <w:r>
        <w:t xml:space="preserve"> </w:t>
      </w:r>
      <w:r>
        <w:t xml:space="preserve">Two dyads laid end to end do not make the thing.</w:t>
      </w:r>
    </w:p>
    <w:p>
      <w:pPr>
        <w:pStyle w:val="BodyText"/>
      </w:pPr>
      <w:r>
        <w:t xml:space="preserve">Two limits belong here, and both cost the argument something. Royce requires communication among contemporaries, not merely a shared past, so a community can form without its members encountering one another but not without their being in communication at all.</w:t>
      </w:r>
      <w:r>
        <w:rPr>
          <w:rStyle w:val="FootnoteReference"/>
        </w:rPr>
        <w:footnoteReference w:id="18"/>
      </w:r>
      <w:r>
        <w:t xml:space="preserve"> </w:t>
      </w:r>
      <w:r>
        <w:t xml:space="preserve">And Royce’s interpreter is a mind. Interpretation for him is</w:t>
      </w:r>
      <w:r>
        <w:t xml:space="preserve"> </w:t>
      </w:r>
      <w:r>
        <w:t xml:space="preserve">“a conversation, and not a lonely enterprise,”</w:t>
      </w:r>
      <w:r>
        <w:t xml:space="preserve"> </w:t>
      </w:r>
      <w:r>
        <w:t xml:space="preserve">and all three terms of his community are selves.</w:t>
      </w:r>
      <w:r>
        <w:rPr>
          <w:rStyle w:val="FootnoteReference"/>
        </w:rPr>
        <w:footnoteReference w:id="19"/>
      </w:r>
      <w:r>
        <w:t xml:space="preserve"> </w:t>
      </w:r>
      <w:r>
        <w:t xml:space="preserve">Putting a camera or a dispatch system in the interpreter’s chair is my extension, not his.</w:t>
      </w:r>
    </w:p>
    <w:p>
      <w:pPr>
        <w:pStyle w:val="BodyText"/>
      </w:pPr>
      <w:r>
        <w:t xml:space="preserve">Set against those limits, the film’s cleanest join is one Royce would recognize and nobody in the film intended. In a café a man dictates aphorisms, casting himself as Dostoyevsky and his companion as Anna at work on</w:t>
      </w:r>
      <w:r>
        <w:t xml:space="preserve"> </w:t>
      </w:r>
      <w:r>
        <w:rPr>
          <w:i/>
          <w:iCs/>
        </w:rPr>
        <w:t xml:space="preserve">The Gambler</w:t>
      </w:r>
      <w:r>
        <w:t xml:space="preserve">, when a passerby breaks in to ask after a friend:</w:t>
      </w:r>
      <w:r>
        <w:t xml:space="preserve"> </w:t>
      </w:r>
      <w:r>
        <w:t xml:space="preserve">“You seen Gary around?”</w:t>
      </w:r>
      <w:r>
        <w:t xml:space="preserve"> </w:t>
      </w:r>
      <w:r>
        <w:t xml:space="preserve">Nobody has seen Gary for months. The passerby moves on, and the second line of the next segment belongs to a different man entirely, standing somewhere else, who says he overheard that a friend has gone missing. The asker asked one man; another man answered.</w:t>
      </w:r>
    </w:p>
    <w:p>
      <w:pPr>
        <w:pStyle w:val="BodyText"/>
      </w:pPr>
      <w:r>
        <w:t xml:space="preserve">Answering costs the answerer the next few minutes, and this film’s talkers know it. Emanuel Schegloff, working from tape recordings of calls to a police complaint desk in a middle-sized Midwestern city, found that a summons binds whoever takes it up. The answerer</w:t>
      </w:r>
      <w:r>
        <w:t xml:space="preserve"> </w:t>
      </w:r>
      <w:r>
        <w:t xml:space="preserve">“commits himself to staying with the encounter,”</w:t>
      </w:r>
      <w:r>
        <w:t xml:space="preserve"> </w:t>
      </w:r>
      <w:r>
        <w:t xml:space="preserve">and a member of society</w:t>
      </w:r>
      <w:r>
        <w:t xml:space="preserve"> </w:t>
      </w:r>
      <w:r>
        <w:t xml:space="preserve">“may not</w:t>
      </w:r>
      <w:r>
        <w:t xml:space="preserve"> </w:t>
      </w:r>
      <w:r>
        <w:t xml:space="preserve">‘naively choose’</w:t>
      </w:r>
      <w:r>
        <w:t xml:space="preserve"> </w:t>
      </w:r>
      <w:r>
        <w:t xml:space="preserve">not to answer a summons,”</w:t>
      </w:r>
      <w:r>
        <w:t xml:space="preserve"> </w:t>
      </w:r>
      <w:r>
        <w:t xml:space="preserve">because silence gets read as a cold shoulder, among other things. Schegloff extended the rule himself from telephones to strangers standing near one another, counting a courtesy phrase and a tap on the shoulder among summonses.</w:t>
      </w:r>
      <w:r>
        <w:rPr>
          <w:rStyle w:val="FootnoteReference"/>
        </w:rPr>
        <w:footnoteReference w:id="20"/>
      </w:r>
      <w:r>
        <w:t xml:space="preserve"> </w:t>
      </w:r>
      <w:r>
        <w:t xml:space="preserve">The man who answered Gary’s asker keeps his listener through a suppressed moon program, colonies on Mars since 1962, and a rain-forest drug that leaves</w:t>
      </w:r>
      <w:r>
        <w:t xml:space="preserve"> </w:t>
      </w:r>
      <w:r>
        <w:t xml:space="preserve">“perfect employees,”</w:t>
      </w:r>
      <w:r>
        <w:t xml:space="preserve"> </w:t>
      </w:r>
      <w:r>
        <w:t xml:space="preserve">then hands him on to nobody. Later he stops a second man on the street with</w:t>
      </w:r>
      <w:r>
        <w:t xml:space="preserve"> </w:t>
      </w:r>
      <w:r>
        <w:t xml:space="preserve">“Just a little security check. There’ve been some people missing,”</w:t>
      </w:r>
      <w:r>
        <w:t xml:space="preserve"> </w:t>
      </w:r>
      <w:r>
        <w:t xml:space="preserve">and releases him with a courtesy of his own:</w:t>
      </w:r>
      <w:r>
        <w:t xml:space="preserve"> </w:t>
      </w:r>
      <w:r>
        <w:t xml:space="preserve">“You’re in a hurry. That makes perfect sense.”</w:t>
      </w:r>
      <w:r>
        <w:t xml:space="preserve"> </w:t>
      </w:r>
      <w:r>
        <w:t xml:space="preserve">The street supplied the opening twice and arranged nothing.</w:t>
      </w:r>
    </w:p>
    <w:bookmarkEnd w:id="21"/>
    <w:bookmarkStart w:id="29" w:name="Xa83825fe28c4b2378ae6650ae1c8219d9e33bac"/>
    <w:p>
      <w:pPr>
        <w:pStyle w:val="Heading2"/>
      </w:pPr>
      <w:r>
        <w:t xml:space="preserve">3. A city that coordinated without employing</w:t>
      </w:r>
    </w:p>
    <w:p>
      <w:pPr>
        <w:pStyle w:val="FirstParagraph"/>
      </w:pPr>
      <w:r>
        <w:t xml:space="preserve">That street does something specific, and it is easier to name by what it does not do. In 1990 Austin held its people within reach of one another and organized none of their work.</w:t>
      </w:r>
    </w:p>
    <w:p>
      <w:pPr>
        <w:pStyle w:val="BodyText"/>
      </w:pPr>
      <w:r>
        <w:t xml:space="preserve">The film’s own transcript carries the evidence, and it refutes the version of this claim I expected to make. I predicted that the only people working in</w:t>
      </w:r>
      <w:r>
        <w:t xml:space="preserve"> </w:t>
      </w:r>
      <w:r>
        <w:rPr>
          <w:i/>
          <w:iCs/>
        </w:rPr>
        <w:t xml:space="preserve">Slacker</w:t>
      </w:r>
      <w:r>
        <w:t xml:space="preserve"> </w:t>
      </w:r>
      <w:r>
        <w:t xml:space="preserve">would be the ones staffing its coordinating positions, and I coded the film to test that prediction. Two coders worked all thirty-five segments from the same transcript without seeing each other’s sheets, agreeing on thirty-four of thirty-five for work (κ = 0.96) and thirty-three of thirty-five for exchange (κ = 0.91).</w:t>
      </w:r>
      <w:r>
        <w:rPr>
          <w:rStyle w:val="FootnoteReference"/>
        </w:rPr>
        <w:footnoteReference w:id="22"/>
      </w:r>
      <w:r>
        <w:t xml:space="preserve"> </w:t>
      </w:r>
      <w:r>
        <w:t xml:space="preserve">The coordinating half of the prediction held: every position that coordinates other people is staffed and audibly working — the taxi, both counters, the door, the staff clearing the room at closing. The exclusivity half failed five times, and in each of those five cases the person working coordinates nothing at all: children selling Cokes at half price, a man working a street with shirts and magazines, a vendor running a two-for-one on newspapers, a store security supervisor handing off a shift, two officers on duty at the accident.</w:t>
      </w:r>
    </w:p>
    <w:p>
      <w:pPr>
        <w:pStyle w:val="BodyText"/>
      </w:pPr>
      <w:r>
        <w:t xml:space="preserve">What the count actually shows is sharper than what I asked it to confirm. Across all thirty-five segments, in both codings, not one person seeks, applies for, or arranges paid work. The only job search anywhere in the transcript is narrated on a postcard, in the third person, about a housemate who has already left town:</w:t>
      </w:r>
      <w:r>
        <w:t xml:space="preserve"> </w:t>
      </w:r>
      <w:r>
        <w:t xml:space="preserve">“So now he’s looking for a job that doesn’t involve much work.”</w:t>
      </w:r>
      <w:r>
        <w:t xml:space="preserve"> </w:t>
      </w:r>
      <w:r>
        <w:t xml:space="preserve">The one direct question about getting a job is deferred to</w:t>
      </w:r>
      <w:r>
        <w:t xml:space="preserve"> </w:t>
      </w:r>
      <w:r>
        <w:t xml:space="preserve">“the true call.”</w:t>
      </w:r>
      <w:r>
        <w:t xml:space="preserve"> </w:t>
      </w:r>
      <w:r>
        <w:t xml:space="preserve">The work that does appear divides cleanly in two, with nothing between: staffing a position that coordinates other people, or selling something hand to hand in the street. No workplace appears beyond one store and a few counters, and no employer is named except</w:t>
      </w:r>
      <w:r>
        <w:t xml:space="preserve"> </w:t>
      </w:r>
      <w:r>
        <w:t xml:space="preserve">“the security in the store.”</w:t>
      </w:r>
    </w:p>
    <w:p>
      <w:pPr>
        <w:pStyle w:val="BodyText"/>
      </w:pPr>
      <w:r>
        <w:t xml:space="preserve">The material conditions were ordinary, and they were slack. Across the 1980s the city added housing faster than people — 48.0 percent against 34.6 — a gap that shows less than it seems, because households were shrinking nationally over the same years.</w:t>
      </w:r>
      <w:r>
        <w:rPr>
          <w:rStyle w:val="FootnoteReference"/>
        </w:rPr>
        <w:footnoteReference w:id="23"/>
      </w:r>
      <w:r>
        <w:t xml:space="preserve"> </w:t>
      </w:r>
      <w:r>
        <w:t xml:space="preserve">Not one multifamily building permit was issued anywhere in the Austin metropolitan area in December 1989, against 632 in Houston and 260 in Dallas that month; by the following May both of those cities had themselves dropped to eight.</w:t>
      </w:r>
      <w:r>
        <w:rPr>
          <w:rStyle w:val="FootnoteReference"/>
        </w:rPr>
        <w:footnoteReference w:id="24"/>
      </w:r>
      <w:r>
        <w:t xml:space="preserve"> </w:t>
      </w:r>
      <w:r>
        <w:t xml:space="preserve">One rental unit in nine stood empty, a vacancy rate of 11.6 percent, in a city whose university carried 50,245 students that autumn.</w:t>
      </w:r>
      <w:r>
        <w:rPr>
          <w:rStyle w:val="FootnoteReference"/>
        </w:rPr>
        <w:footnoteReference w:id="25"/>
      </w:r>
      <w:r>
        <w:t xml:space="preserve"> </w:t>
      </w:r>
      <w:r>
        <w:t xml:space="preserve">Austin was not cheap. On census day 1990 the median contract rent was $346, above Houston and San Antonio and behind only Dallas among the state’s big cities.</w:t>
      </w:r>
      <w:r>
        <w:rPr>
          <w:rStyle w:val="FootnoteReference"/>
        </w:rPr>
        <w:footnoteReference w:id="26"/>
      </w:r>
      <w:r>
        <w:t xml:space="preserve"> </w:t>
      </w:r>
      <w:r>
        <w:t xml:space="preserve">What Austin had was slack rather than cheapness, and in a city where a film could be shot for $23,000,</w:t>
      </w:r>
      <w:r>
        <w:rPr>
          <w:rStyle w:val="FootnoteReference"/>
        </w:rPr>
        <w:footnoteReference w:id="27"/>
      </w:r>
      <w:r>
        <w:t xml:space="preserve"> </w:t>
      </w:r>
      <w:r>
        <w:t xml:space="preserve">slack is what lets a day like this one happen at all.</w:t>
      </w:r>
    </w:p>
    <w:p>
      <w:pPr>
        <w:pStyle w:val="BodyText"/>
      </w:pPr>
      <w:r>
        <w:t xml:space="preserve">Two scholars got here first, and both cut against me. Mary Erickson argues that</w:t>
      </w:r>
      <w:r>
        <w:t xml:space="preserve"> </w:t>
      </w:r>
      <w:r>
        <w:rPr>
          <w:i/>
          <w:iCs/>
        </w:rPr>
        <w:t xml:space="preserve">Slacker</w:t>
      </w:r>
      <w:r>
        <w:t xml:space="preserve"> </w:t>
      </w:r>
      <w:r>
        <w:t xml:space="preserve">became emblematic of a generation, a city, and a mindset well beyond its observational origins, and that Austin’s later transformation drives a nostalgic rereading in which audiences watch the film through what the city lost. Joshua Long treats the film as constitutive of Austin’s place identity outright:</w:t>
      </w:r>
      <w:r>
        <w:t xml:space="preserve"> </w:t>
      </w:r>
      <w:r>
        <w:t xml:space="preserve">“Set on the streets of late 1980s Austin,</w:t>
      </w:r>
      <w:r>
        <w:t xml:space="preserve"> </w:t>
      </w:r>
      <w:r>
        <w:rPr>
          <w:i/>
          <w:iCs/>
        </w:rPr>
        <w:t xml:space="preserve">Slacker</w:t>
      </w:r>
      <w:r>
        <w:t xml:space="preserve"> </w:t>
      </w:r>
      <w:r>
        <w:t xml:space="preserve">came to define the subculture of overeducated, nonparticipant weirdos so prevalent in Austin.”</w:t>
      </w:r>
      <w:r>
        <w:rPr>
          <w:rStyle w:val="FootnoteReference"/>
        </w:rPr>
        <w:footnoteReference w:id="28"/>
      </w:r>
      <w:r>
        <w:t xml:space="preserve"> </w:t>
      </w:r>
      <w:r>
        <w:t xml:space="preserve">A chapter that ignored them would reproduce exactly the myth-making Erickson has anatomized. But a myth is not an objection to the argument of section 2 when a hundred thousand people accept it as part of their own past, which is that section’s definition of a community of memory.</w:t>
      </w:r>
    </w:p>
    <w:p>
      <w:pPr>
        <w:pStyle w:val="BodyText"/>
      </w:pPr>
      <w:r>
        <w:t xml:space="preserve">By platform I mean throughout what this chapter has defined, and nothing borrowed from economics: a third that holds parties within reach of one another and arranges none of their meetings. If the film showed its people at work, or if the 1990 figures showed a tight housing market and a production boom, the claim of this section would fail.</w:t>
      </w:r>
    </w:p>
    <w:bookmarkEnd w:id="29"/>
    <w:bookmarkStart w:id="32" w:name="the-joining-migrates"/>
    <w:p>
      <w:pPr>
        <w:pStyle w:val="Heading2"/>
      </w:pPr>
      <w:r>
        <w:t xml:space="preserve">4. The joining migrates</w:t>
      </w:r>
    </w:p>
    <w:p>
      <w:pPr>
        <w:pStyle w:val="FirstParagraph"/>
      </w:pPr>
      <w:r>
        <w:t xml:space="preserve">Across its runtime the film changes its mind about who does the joining. Early on it joins its own scenes and the characters barely help — a question about a missing friend, a report that a housemate named Paul has vanished, closed with an invitation:</w:t>
      </w:r>
      <w:r>
        <w:t xml:space="preserve"> </w:t>
      </w:r>
      <w:r>
        <w:t xml:space="preserve">“Why don’t you come look? It’s really weird.”</w:t>
      </w:r>
      <w:r>
        <w:t xml:space="preserve"> </w:t>
      </w:r>
      <w:r>
        <w:t xml:space="preserve">By the middle the characters have taken the work over, offering lifts, addresses, a van, a stamp, and a camera. By dawn it is the cut again, over a recorded voice and a hail into an empty street. That change is measurable, and a second census measures it. On the same transcript and the same protocol, two questions were put to each of the thirty-four transitions between segments: does anything audible cross the seam, and does an act aimed by one character at another produce the next encounter? The two codings agree on 82 percent of the first question (κ = 0.75) and 91 percent of the second (κ = 0.84).</w:t>
      </w:r>
      <w:r>
        <w:rPr>
          <w:rStyle w:val="FootnoteReference"/>
        </w:rPr>
        <w:footnoteReference w:id="30"/>
      </w:r>
      <w:r>
        <w:t xml:space="preserve"> </w:t>
      </w:r>
      <w:r>
        <w:t xml:space="preserve">Fifteen or sixteen transitions carry an audible link, and four or five are equivocal, with the equivocal cases listed by segment pair in the notes.</w:t>
      </w:r>
      <w:r>
        <w:rPr>
          <w:rStyle w:val="FootnoteReference"/>
        </w:rPr>
        <w:footnoteReference w:id="31"/>
      </w:r>
      <w:r>
        <w:t xml:space="preserve"> </w:t>
      </w:r>
      <w:r>
        <w:t xml:space="preserve">The instrument is a transcript of the film’s subtitle track, and subtitles compress and paraphrase, so an afternoon with the disc may move these numbers.</w:t>
      </w:r>
    </w:p>
    <w:p>
      <w:pPr>
        <w:pStyle w:val="BodyText"/>
      </w:pPr>
      <w:r>
        <w:t xml:space="preserve">Of the first fifteen transitions, four or five carry an audible link; of the middle fifteen, eleven do; of the last four, none that the transcript can show. The middle stacks them: a lift into town asked for and granted; an address pressed on a driver who wants no part of the trip; a guest list and a van offered to two women who accept; a stamp offered at one door and claimed again at the next; a camera handed to a stranger at a party.</w:t>
      </w:r>
    </w:p>
    <w:p>
      <w:pPr>
        <w:pStyle w:val="BodyText"/>
      </w:pPr>
      <w:r>
        <w:t xml:space="preserve">Six of the thirty-four transitions are deliberate, identically in both codings, and five of those six sit in the middle third. Deliberate here means an act aimed at another person that intends the next encounter — an offer, an invitation, an address, or an object handed over with a purpose — and a character who announces his own next move and goes there alone does not qualify. What the six have in common is that every one of them is an object or a claim that passes between hands and can be said aloud, spelled, demonstrated, copied, or demanded back:</w:t>
      </w:r>
      <w:r>
        <w:t xml:space="preserve"> </w:t>
      </w:r>
      <w:r>
        <w:t xml:space="preserve">“How about a lift back into town?”</w:t>
      </w:r>
      <w:r>
        <w:t xml:space="preserve"> </w:t>
      </w:r>
      <w:r>
        <w:t xml:space="preserve">“Yeah.”</w:t>
      </w:r>
      <w:r>
        <w:t xml:space="preserve"> </w:t>
      </w:r>
      <w:r>
        <w:t xml:space="preserve">“The address, man. Take me there. Drop me off.”</w:t>
      </w:r>
      <w:r>
        <w:t xml:space="preserve"> </w:t>
      </w:r>
      <w:r>
        <w:t xml:space="preserve">“Do I have a car? I have a van.”</w:t>
      </w:r>
      <w:r>
        <w:t xml:space="preserve"> </w:t>
      </w:r>
      <w:r>
        <w:t xml:space="preserve">And at the party, terms attached to a camera:</w:t>
      </w:r>
      <w:r>
        <w:t xml:space="preserve"> </w:t>
      </w:r>
      <w:r>
        <w:t xml:space="preserve">“Shoot whatever you want. Pass it around … But I want my camera back, all right?”</w:t>
      </w:r>
    </w:p>
    <w:p>
      <w:pPr>
        <w:pStyle w:val="BodyText"/>
      </w:pPr>
      <w:r>
        <w:t xml:space="preserve">When the characters hold the joining, the instrument is something one can hold; when the cut holds it, there is nothing to hold and nobody to speak to. In segments 33 and 34 speech goes out with no one there to take it up — a recorded voice meditating on mourning and freedom, a hail into the street, a man reciting a weapons giveaway program to nobody — and the cut has the film back, with nothing audible crossing any of the four transitions that carry it there.</w:t>
      </w:r>
    </w:p>
    <w:p>
      <w:pPr>
        <w:pStyle w:val="BodyText"/>
      </w:pPr>
      <w:r>
        <w:t xml:space="preserve">Two questions can be asked of any third standing between strangers, and they are worth stating because they do not explain this migration. Neither question’s answer moves while the joining migrates, so neither is what changed. Does the third hold people where they can summon one another without naming which two? Austin does, from the first frame to the last. Does it decide which particular party comes next, for a particular participant, in sequence? The film’s cut does, since every viewer since 1990 has met these hundred people in the same order.</w:t>
      </w:r>
    </w:p>
    <w:bookmarkEnd w:id="32"/>
    <w:bookmarkStart w:id="37" w:name="what-a-third-can-do-to-you"/>
    <w:p>
      <w:pPr>
        <w:pStyle w:val="Heading2"/>
      </w:pPr>
      <w:r>
        <w:t xml:space="preserve">5. What a third can do to you</w:t>
      </w:r>
    </w:p>
    <w:p>
      <w:pPr>
        <w:pStyle w:val="FirstParagraph"/>
      </w:pPr>
      <w:r>
        <w:t xml:space="preserve">Simmel gives the structure from outside and Royce the membership from inside, and neither of them says what the third can do to a member. The film answers at a door, and the answer has four parts.</w:t>
      </w:r>
    </w:p>
    <w:p>
      <w:pPr>
        <w:pStyle w:val="BodyText"/>
      </w:pPr>
      <w:r>
        <w:t xml:space="preserve">“What’s up, dude? I’m on the guest list.”</w:t>
      </w:r>
      <w:r>
        <w:t xml:space="preserve"> </w:t>
      </w:r>
      <w:r>
        <w:t xml:space="preserve">The doorman prices him instead:</w:t>
      </w:r>
      <w:r>
        <w:t xml:space="preserve"> </w:t>
      </w:r>
      <w:r>
        <w:t xml:space="preserve">“Three dollars.”</w:t>
      </w:r>
      <w:r>
        <w:t xml:space="preserve"> </w:t>
      </w:r>
      <w:r>
        <w:t xml:space="preserve">He spells his name —</w:t>
      </w:r>
      <w:r>
        <w:t xml:space="preserve"> </w:t>
      </w:r>
      <w:r>
        <w:t xml:space="preserve">“The name’s Steve. S-T-E-V-E. Steve plus three or four”</w:t>
      </w:r>
      <w:r>
        <w:t xml:space="preserve"> </w:t>
      </w:r>
      <w:r>
        <w:t xml:space="preserve">— and gets it handed back:</w:t>
      </w:r>
      <w:r>
        <w:t xml:space="preserve"> </w:t>
      </w:r>
      <w:r>
        <w:t xml:space="preserve">“Sorry, Steve. Don’t see you.”</w:t>
      </w:r>
      <w:r>
        <w:t xml:space="preserve"> </w:t>
      </w:r>
      <w:r>
        <w:t xml:space="preserve">He argues the one fact he has, that the band on stage is his roommate’s, and the door does not move. Across the film’s last stretch that door exercises four capacities, and they belong on the table by name. A third can price an exchange, evaluate a party, remove a party, and withhold its reason. The fourth is its own power rather than a version of the other three, because a contested party needs the reason before any argument about the price, the verdict, or the removal can begin.</w:t>
      </w:r>
    </w:p>
    <w:p>
      <w:pPr>
        <w:pStyle w:val="BodyText"/>
      </w:pPr>
      <w:r>
        <w:t xml:space="preserve">The door prices, and a cover is named out loud at five dollars. It evaluates by checking a name offered in good faith against a list and refusing it. It removes by clearing the room at two in the morning with the reason said aloud and no destination named:</w:t>
      </w:r>
      <w:r>
        <w:t xml:space="preserve"> </w:t>
      </w:r>
      <w:r>
        <w:t xml:space="preserve">“It’s past 2:00. Everybody out. … You gotta be somewhere. You can’t be here. And I wanna go home.”</w:t>
      </w:r>
      <w:r>
        <w:t xml:space="preserve"> </w:t>
      </w:r>
      <w:r>
        <w:t xml:space="preserve">Through all of it the door arranges nothing. It never chooses which two people will meet, and the one deliberate handoff the census records there is a stranger’s, not the doorman’s. The concession is therefore unavoidable, and it belongs in the body of the argument rather than in a reply to a referee. Pricing a passage and expelling a party are powers that owe nothing to selection. Choosing which two parties come together entails no right to charge either of them, and a market square — the least selective third there is — can still charge rent and call the police.</w:t>
      </w:r>
    </w:p>
    <w:p>
      <w:pPr>
        <w:pStyle w:val="BodyText"/>
      </w:pPr>
      <w:r>
        <w:t xml:space="preserve">Platforms hold all four capacities in writing, as the documents make clear. Amazon’s licensing page for Prime Video, a living page quoted as retrieved, reads:</w:t>
      </w:r>
      <w:r>
        <w:t xml:space="preserve"> </w:t>
      </w:r>
      <w:r>
        <w:t xml:space="preserve">“Unless otherwise indicated, removed titles (or titles not selected for licensing) may not be resubmitted or appealed. All content is selected at the sole discretion of Prime Video, and we cannot provide additional details about why any specific title was or was not selected for licensing.”</w:t>
      </w:r>
      <w:r>
        <w:t xml:space="preserve"> </w:t>
      </w:r>
      <w:r>
        <w:t xml:space="preserve">The same page promises visibility in a rights holder’s portal when a title is not selected, so the verdict arrives and the reasons do not.</w:t>
      </w:r>
      <w:r>
        <w:rPr>
          <w:rStyle w:val="FootnoteReference"/>
        </w:rPr>
        <w:footnoteReference w:id="33"/>
      </w:r>
      <w:r>
        <w:t xml:space="preserve"> </w:t>
      </w:r>
      <w:r>
        <w:t xml:space="preserve">Evaluation is on the page as well: once a title is live, performance metrics and viewing behavior decide which content is resonating, and content failing the engagement standards may be subject to removal. On the labor side the evidence is thinner. Rideshare Drivers United and the Asian Law Caucus surveyed 810 California drivers between April and July 2022, recruited through a union’s networks — a convenience sample whose authors caution that people wanting to document a deactivation were likelier to respond — and two-thirds reported having been deactivated at some point, of whom 30 percent were given no reason at all.</w:t>
      </w:r>
      <w:r>
        <w:rPr>
          <w:rStyle w:val="FootnoteReference"/>
        </w:rPr>
        <w:footnoteReference w:id="34"/>
      </w:r>
    </w:p>
    <w:p>
      <w:pPr>
        <w:pStyle w:val="BodyText"/>
      </w:pPr>
      <w:r>
        <w:t xml:space="preserve">David Stark and Ivana Pais put the general form plainly when they write that on platforms actors are co-opted, enrolled in the practices of algorithmic management without managerial authority having been delegated.</w:t>
      </w:r>
      <w:r>
        <w:rPr>
          <w:rStyle w:val="FootnoteReference"/>
        </w:rPr>
        <w:footnoteReference w:id="35"/>
      </w:r>
      <w:r>
        <w:t xml:space="preserve"> </w:t>
      </w:r>
      <w:r>
        <w:t xml:space="preserve">The film stages the same enrollment with the forms intact. When the PixelVision camera goes round at the party, the contributor is recruited into someone else’s project on stated terms, negotiable, enforced by a man standing there who wants his camera back. The licensing page is that arrangement with the man removed.</w:t>
      </w:r>
    </w:p>
    <w:p>
      <w:pPr>
        <w:pStyle w:val="BodyText"/>
      </w:pPr>
      <w:r>
        <w:t xml:space="preserve">One thing the chapter’s own apparatus cannot do belongs here too. Where a third stands between two parties who are forbidden each other, one can ask whether it would survive the removal of the prohibition, and a body of formal work has done exactly that.</w:t>
      </w:r>
      <w:r>
        <w:rPr>
          <w:rStyle w:val="FootnoteReference"/>
        </w:rPr>
        <w:footnoteReference w:id="36"/>
      </w:r>
      <w:r>
        <w:t xml:space="preserve"> </w:t>
      </w:r>
      <w:r>
        <w:t xml:space="preserve">The deferred third has no such counterfactual, because its neighbors were never forbidden each other; they never met.</w:t>
      </w:r>
    </w:p>
    <w:bookmarkEnd w:id="37"/>
    <w:bookmarkStart w:id="38" w:name="Xd809ead6fd9820f84042ed6b5a34f31a8815d77"/>
    <w:p>
      <w:pPr>
        <w:pStyle w:val="Heading2"/>
      </w:pPr>
      <w:r>
        <w:t xml:space="preserve">6. A community of memory, and no loyalty in it</w:t>
      </w:r>
    </w:p>
    <w:p>
      <w:pPr>
        <w:pStyle w:val="FirstParagraph"/>
      </w:pPr>
      <w:r>
        <w:t xml:space="preserve">Nobody in</w:t>
      </w:r>
      <w:r>
        <w:t xml:space="preserve"> </w:t>
      </w:r>
      <w:r>
        <w:rPr>
          <w:i/>
          <w:iCs/>
        </w:rPr>
        <w:t xml:space="preserve">Slacker</w:t>
      </w:r>
      <w:r>
        <w:t xml:space="preserve"> </w:t>
      </w:r>
      <w:r>
        <w:t xml:space="preserve">is devoted to anything, and the film is not shy about it: a man will take a job</w:t>
      </w:r>
      <w:r>
        <w:t xml:space="preserve"> </w:t>
      </w:r>
      <w:r>
        <w:t xml:space="preserve">“when I hear the true call,”</w:t>
      </w:r>
      <w:r>
        <w:t xml:space="preserve"> </w:t>
      </w:r>
      <w:r>
        <w:t xml:space="preserve">and will not say what the true call is. Royce’s conditions for a community of memory say nothing about devotion. They require selves capable of extending their own lives beyond the present moment, communication among contemporaries, and the same past events accepted by each member as part of his own life and self. A platform meets all three conditions, and it meets them better than a city does, because it keeps the record.</w:t>
      </w:r>
    </w:p>
    <w:p>
      <w:pPr>
        <w:pStyle w:val="BodyText"/>
      </w:pPr>
      <w:r>
        <w:t xml:space="preserve">What Royce has that a platform does not is loyalty, which in his account is what makes a shared past</w:t>
      </w:r>
      <w:r>
        <w:t xml:space="preserve"> </w:t>
      </w:r>
      <w:r>
        <w:rPr>
          <w:i/>
          <w:iCs/>
        </w:rPr>
        <w:t xml:space="preserve">mine</w:t>
      </w:r>
      <w:r>
        <w:t xml:space="preserve"> </w:t>
      </w:r>
      <w:r>
        <w:t xml:space="preserve">rather than merely true of me. The absence is a lack rather than a swap, and the film’s people show the same lack: they share a day and a city, they satisfy the memory conditions, and I claim nothing more for them than that.</w:t>
      </w:r>
    </w:p>
    <w:p>
      <w:pPr>
        <w:pStyle w:val="BodyText"/>
      </w:pPr>
      <w:r>
        <w:t xml:space="preserve">Two differences follow from that lack, and both are testable. The first is custody.</w:t>
      </w:r>
      <w:r>
        <w:t xml:space="preserve"> </w:t>
      </w:r>
      <w:r>
        <w:rPr>
          <w:i/>
          <w:iCs/>
        </w:rPr>
        <w:t xml:space="preserve">Slacker</w:t>
      </w:r>
      <w:r>
        <w:t xml:space="preserve">’s day is recountable by the people in it, and the film says so through the man surrounded by running televisions in segment 24, whose complaint about a real death he once witnessed is that it left him nothing to consult:</w:t>
      </w:r>
      <w:r>
        <w:t xml:space="preserve"> </w:t>
      </w:r>
      <w:r>
        <w:t xml:space="preserve">“I have no reference to it now. I can’t refer back to it. I can’t press rewind. I can’t put it on pause.”</w:t>
      </w:r>
      <w:r>
        <w:t xml:space="preserve"> </w:t>
      </w:r>
      <w:r>
        <w:t xml:space="preserve">A driver cannot replay an allocation. The offer expires, the queue moves, the fare behind it stays sealed, and the one party who could describe the pairing from the other side is the party he is barred from asking.</w:t>
      </w:r>
    </w:p>
    <w:p>
      <w:pPr>
        <w:pStyle w:val="BodyText"/>
      </w:pPr>
      <w:r>
        <w:t xml:space="preserve">The second difference is whether the arrangement survives a member’s indifference. The film’s version of an arranged encounter is a guest list, made out loud in front of witnesses and checkable at a door, and it fails in public:</w:t>
      </w:r>
      <w:r>
        <w:t xml:space="preserve"> </w:t>
      </w:r>
      <w:r>
        <w:t xml:space="preserve">“Fuck. I’m not on the list.”</w:t>
      </w:r>
      <w:r>
        <w:t xml:space="preserve"> </w:t>
      </w:r>
      <w:r>
        <w:t xml:space="preserve">“Figures.”</w:t>
      </w:r>
      <w:r>
        <w:t xml:space="preserve"> </w:t>
      </w:r>
      <w:r>
        <w:t xml:space="preserve">The whole group is left on the sidewalk to renegotiate the evening aloud. A queue position happens to one driver at a time, inside an app, on inputs only partly stated, and it does not require him to care about anything. He remains in it and remains rateable whether or not he assents, which is precisely what a Roycean membership cannot do.</w:t>
      </w:r>
    </w:p>
    <w:p>
      <w:pPr>
        <w:pStyle w:val="BodyText"/>
      </w:pPr>
      <w:r>
        <w:t xml:space="preserve">Loyalty does reappear, and it reappears outside. The survey quoted above exists because 810 drivers organized to produce it — devotion doing Royce’s work, formed against the third rather than through it.</w:t>
      </w:r>
    </w:p>
    <w:bookmarkEnd w:id="38"/>
    <w:bookmarkStart w:id="48" w:name="the-guest-list-and-the-stamp"/>
    <w:p>
      <w:pPr>
        <w:pStyle w:val="Heading2"/>
      </w:pPr>
      <w:r>
        <w:t xml:space="preserve">7. The guest list and the stamp</w:t>
      </w:r>
    </w:p>
    <w:p>
      <w:pPr>
        <w:pStyle w:val="FirstParagraph"/>
      </w:pPr>
      <w:r>
        <w:t xml:space="preserve">Two doors apart, on one night, the film stages both sides of a distinction Charles Reich drew in 1964 about a different subject. Reich’s subject was government largess, and his observation was that a class of valuables had migrated out of ownership and into grants, leaving the holder facing a counterparty who writes the terms, changes them, adjudicates disputes through its own tribunal, and owes no procedure.</w:t>
      </w:r>
      <w:r>
        <w:rPr>
          <w:rStyle w:val="FootnoteReference"/>
        </w:rPr>
        <w:footnoteReference w:id="39"/>
      </w:r>
      <w:r>
        <w:t xml:space="preserve"> </w:t>
      </w:r>
      <w:r>
        <w:t xml:space="preserve">Courts moved first, he noted, where livelihood was at stake, on interests</w:t>
      </w:r>
      <w:r>
        <w:t xml:space="preserve"> </w:t>
      </w:r>
      <w:r>
        <w:t xml:space="preserve">“intimately bound up with the individual’s freedom to earn a living.”</w:t>
      </w:r>
      <w:r>
        <w:rPr>
          <w:rStyle w:val="FootnoteReference"/>
        </w:rPr>
        <w:footnoteReference w:id="40"/>
      </w:r>
      <w:r>
        <w:t xml:space="preserve"> </w:t>
      </w:r>
      <w:r>
        <w:t xml:space="preserve">And in a sentence that names this chapter’s fourth capacity sixty years early, he wrote that</w:t>
      </w:r>
      <w:r>
        <w:t xml:space="preserve"> </w:t>
      </w:r>
      <w:r>
        <w:t xml:space="preserve">“the denial of any form of privilege or benefit on the basis of undisclosed reasons should no longer be tolerated.”</w:t>
      </w:r>
      <w:r>
        <w:rPr>
          <w:rStyle w:val="FootnoteReference"/>
        </w:rPr>
        <w:footnoteReference w:id="41"/>
      </w:r>
    </w:p>
    <w:p>
      <w:pPr>
        <w:pStyle w:val="BodyText"/>
      </w:pPr>
      <w:r>
        <w:t xml:space="preserve">The guest list is a grant. It is allocated by a grantor on the grantor’s terms, held in the grantor’s record, denied on a ground never stated, with no tribunal but the doorman.</w:t>
      </w:r>
      <w:r>
        <w:t xml:space="preserve"> </w:t>
      </w:r>
      <w:r>
        <w:t xml:space="preserve">“I made him put me on the guest list, and I’m on the guest list,”</w:t>
      </w:r>
      <w:r>
        <w:t xml:space="preserve"> </w:t>
      </w:r>
      <w:r>
        <w:t xml:space="preserve">says a woman who is not on it. The stamp, by contrast, is property. Outside another door a man hears the cover is five bucks and makes his offer:</w:t>
      </w:r>
      <w:r>
        <w:t xml:space="preserve"> </w:t>
      </w:r>
      <w:r>
        <w:t xml:space="preserve">“But, uh, I got a stamp. I think I can, you know, get you in or something.”</w:t>
      </w:r>
      <w:r>
        <w:t xml:space="preserve"> </w:t>
      </w:r>
      <w:r>
        <w:t xml:space="preserve">He demonstrates the transfer —</w:t>
      </w:r>
      <w:r>
        <w:t xml:space="preserve"> </w:t>
      </w:r>
      <w:r>
        <w:t xml:space="preserve">“Here, watch. It’s easy. Watch. You just do this,”</w:t>
      </w:r>
      <w:r>
        <w:t xml:space="preserve"> </w:t>
      </w:r>
      <w:r>
        <w:t xml:space="preserve">whatever exactly</w:t>
      </w:r>
      <w:r>
        <w:t xml:space="preserve"> </w:t>
      </w:r>
      <w:r>
        <w:rPr>
          <w:i/>
          <w:iCs/>
        </w:rPr>
        <w:t xml:space="preserve">this</w:t>
      </w:r>
      <w:r>
        <w:t xml:space="preserve"> </w:t>
      </w:r>
      <w:r>
        <w:t xml:space="preserve">is [DISC:S5] — and at the very next door, against a five-dollar cover, the claim is made again by the group he made it to. A rule that can be said can be copied, and copied by strangers who met its owner two minutes ago.</w:t>
      </w:r>
    </w:p>
    <w:p>
      <w:pPr>
        <w:pStyle w:val="BodyText"/>
      </w:pPr>
      <w:r>
        <w:t xml:space="preserve">Reich carries the structure of the relation and the doctrinal trigger, and no further. He wrote about government; the extension to private parties is mine, and he pointed at it himself when he listed franchises, equities, and</w:t>
      </w:r>
      <w:r>
        <w:t xml:space="preserve"> </w:t>
      </w:r>
      <w:r>
        <w:t xml:space="preserve">“status in private organizations”</w:t>
      </w:r>
      <w:r>
        <w:t xml:space="preserve"> </w:t>
      </w:r>
      <w:r>
        <w:t xml:space="preserve">as the next frontier and left them.</w:t>
      </w:r>
      <w:r>
        <w:rPr>
          <w:rStyle w:val="FootnoteReference"/>
        </w:rPr>
        <w:footnoteReference w:id="42"/>
      </w:r>
      <w:r>
        <w:t xml:space="preserve"> </w:t>
      </w:r>
      <w:r>
        <w:t xml:space="preserve">The program he opened ran through</w:t>
      </w:r>
      <w:r>
        <w:t xml:space="preserve"> </w:t>
      </w:r>
      <w:r>
        <w:rPr>
          <w:i/>
          <w:iCs/>
        </w:rPr>
        <w:t xml:space="preserve">Goldberg v. Kelly</w:t>
      </w:r>
      <w:r>
        <w:t xml:space="preserve"> </w:t>
      </w:r>
      <w:r>
        <w:t xml:space="preserve">and was cut back by</w:t>
      </w:r>
      <w:r>
        <w:t xml:space="preserve"> </w:t>
      </w:r>
      <w:r>
        <w:rPr>
          <w:i/>
          <w:iCs/>
        </w:rPr>
        <w:t xml:space="preserve">Board of Regents v. Roth</w:t>
      </w:r>
      <w:r>
        <w:t xml:space="preserve">, which located property interests in independent sources rather than in the Constitution. Reich made the question askable without settling it. What the film’s coordinating objects give their holders is nearer what Edella Schlager and Elinor Ostrom call a claimant — rights of management without exclusion or alienation — than what they call an authorized user, holding access and withdrawal and no say in the rules; their subject is natural-resource regimes, and the transfer is analogical.</w:t>
      </w:r>
      <w:r>
        <w:rPr>
          <w:rStyle w:val="FootnoteReference"/>
        </w:rPr>
        <w:footnoteReference w:id="43"/>
      </w:r>
    </w:p>
    <w:p>
      <w:pPr>
        <w:pStyle w:val="BodyText"/>
      </w:pPr>
      <w:r>
        <w:t xml:space="preserve">The same distinction has a wholesale-finance history, and it dates close to this film. While</w:t>
      </w:r>
      <w:r>
        <w:t xml:space="preserve"> </w:t>
      </w:r>
      <w:r>
        <w:rPr>
          <w:i/>
          <w:iCs/>
        </w:rPr>
        <w:t xml:space="preserve">Slacker</w:t>
      </w:r>
      <w:r>
        <w:t xml:space="preserve"> </w:t>
      </w:r>
      <w:r>
        <w:t xml:space="preserve">was in its first run, the interdealer currency market was building the venues that would carry it: Reuters Dealing 2000-2 opened in 1992 and EBS launched in September 1993, and in November 1991 the New York Federal Reserve’s foreign exchange committee still described all three then-planned systems as under development.</w:t>
      </w:r>
      <w:r>
        <w:rPr>
          <w:rStyle w:val="FootnoteReference"/>
        </w:rPr>
        <w:footnoteReference w:id="44"/>
      </w:r>
      <w:r>
        <w:t xml:space="preserve"> </w:t>
      </w:r>
      <w:r>
        <w:t xml:space="preserve">Those venues are third parties in the strict sense, not counterparties. The Bank for International Settlements draws the line itself, classifying as indirect any trade involving</w:t>
      </w:r>
      <w:r>
        <w:t xml:space="preserve"> </w:t>
      </w:r>
      <w:r>
        <w:t xml:space="preserve">“a third party in the matching process,”</w:t>
      </w:r>
      <w:r>
        <w:t xml:space="preserve"> </w:t>
      </w:r>
      <w:r>
        <w:t xml:space="preserve">an electronic broking platform among its examples, and the venues’ own rulebooks say the same from inside:</w:t>
      </w:r>
      <w:r>
        <w:t xml:space="preserve"> </w:t>
      </w:r>
      <w:r>
        <w:t xml:space="preserve">“LSEG is not a party to … Transactions conducted on the Platform.”</w:t>
      </w:r>
      <w:r>
        <w:rPr>
          <w:rStyle w:val="FootnoteReference"/>
        </w:rPr>
        <w:footnoteReference w:id="45"/>
      </w:r>
      <w:r>
        <w:t xml:space="preserve"> </w:t>
      </w:r>
      <w:r>
        <w:t xml:space="preserve">Liquidity then tipped, as network effects predict, onto one venue per currency pair.</w:t>
      </w:r>
      <w:r>
        <w:rPr>
          <w:rStyle w:val="FootnoteReference"/>
        </w:rPr>
        <w:footnoteReference w:id="46"/>
      </w:r>
    </w:p>
    <w:p>
      <w:pPr>
        <w:pStyle w:val="BodyText"/>
      </w:pPr>
      <w:r>
        <w:t xml:space="preserve">Two things follow, of which the second is the useful one. First, a limit: these venues did not join parties who would otherwise never have met, since the same dealers went on trading directly alongside them, so they are not instances of the deferred third and I do not claim them as such. Second, the fourth capacity turns out to depend on nothing structural at all. One firm runs the same matching business under three regulators. Its CFTC-supervised venue owes a removed participant written reasons within fourteen days and a route to reconsideration; its FCA-supervised venue owes none and may act</w:t>
      </w:r>
      <w:r>
        <w:t xml:space="preserve"> </w:t>
      </w:r>
      <w:r>
        <w:t xml:space="preserve">“in the sole discretion”</w:t>
      </w:r>
      <w:r>
        <w:t xml:space="preserve"> </w:t>
      </w:r>
      <w:r>
        <w:t xml:space="preserve">of the operator; its unregulated dealing service offers no reasons, no review, and no appeal.</w:t>
      </w:r>
      <w:r>
        <w:rPr>
          <w:rStyle w:val="FootnoteReference"/>
        </w:rPr>
        <w:footnoteReference w:id="47"/>
      </w:r>
      <w:r>
        <w:t xml:space="preserve"> </w:t>
      </w:r>
      <w:r>
        <w:t xml:space="preserve">The capacity to withhold a reason is not a property of standing between people. It is a property of the rules around the standing, which is exactly the difference between a doorman who explains himself and a page that will not.</w:t>
      </w:r>
    </w:p>
    <w:bookmarkEnd w:id="48"/>
    <w:bookmarkStart w:id="50" w:name="aware-and-unaware"/>
    <w:p>
      <w:pPr>
        <w:pStyle w:val="Heading2"/>
      </w:pPr>
      <w:r>
        <w:t xml:space="preserve">8. Aware and unaware</w:t>
      </w:r>
    </w:p>
    <w:p>
      <w:pPr>
        <w:pStyle w:val="FirstParagraph"/>
      </w:pPr>
      <w:r>
        <w:t xml:space="preserve">The film does not anticipate any of this. Nothing in 1990 Austin knew what a dispatch queue was, and a chapter claiming otherwise would be reading the film backward through the thing it wants to explain.</w:t>
      </w:r>
    </w:p>
    <w:p>
      <w:pPr>
        <w:pStyle w:val="BodyText"/>
      </w:pPr>
      <w:r>
        <w:t xml:space="preserve">The claim is about the object rather than about the author. The structure is old: Simmel named it in 1908 and deferred it; Royce described it from the members’ side in 1913; and the film recorded it in 1990 in unusual purity, because this particular city supplied encounter without employment and ran its coordination through instruments that visibly changed hands. The film may therefore be treated as pre-qualitative material — material recorded before the category existed, usable as evidence about the category and not as evidence of foresight. The platform is a later instance of the same structure with four capacities attached, and the film is the control case: the same coordinating position with the capacities absent, which is how anyone learns what the capacities do.</w:t>
      </w:r>
    </w:p>
    <w:p>
      <w:pPr>
        <w:pStyle w:val="BodyText"/>
      </w:pPr>
      <w:r>
        <w:t xml:space="preserve">The film is aware of its own coordination problem in its own words, staging parallel lives from the back of a taxi, a man who cannot press rewind on what he saw, an instrument that arrives blind and works anyway, and a doorman who states his reason out loud. It is unaware of a third that prices, evaluates, removes, and withholds its reason as a system, and stages each capacity instead as one person’s decision at one door, which is why those capacities stay arguable inside the film.</w:t>
      </w:r>
    </w:p>
    <w:p>
      <w:pPr>
        <w:pStyle w:val="BodyText"/>
      </w:pPr>
      <w:r>
        <w:t xml:space="preserve">This bears on a competence the lab that produced this chapter calls algorithmacy: the integrated competence through which an actor coordinates with another party through an algorithmic third party that interprets both sides and commits determinations neither controls, exercised inferentially, translationally, and across time.</w:t>
      </w:r>
      <w:r>
        <w:rPr>
          <w:rStyle w:val="FootnoteReference"/>
        </w:rPr>
        <w:footnoteReference w:id="49"/>
      </w:r>
      <w:r>
        <w:t xml:space="preserve"> </w:t>
      </w:r>
      <w:r>
        <w:t xml:space="preserve">The people in</w:t>
      </w:r>
      <w:r>
        <w:t xml:space="preserve"> </w:t>
      </w:r>
      <w:r>
        <w:rPr>
          <w:i/>
          <w:iCs/>
        </w:rPr>
        <w:t xml:space="preserve">Slacker</w:t>
      </w:r>
      <w:r>
        <w:t xml:space="preserve"> </w:t>
      </w:r>
      <w:r>
        <w:t xml:space="preserve">need none of it, and their not needing it is the finding. Their thirds are legible: a cover is named aloud, a stamp is demonstrated on a wrist, a card is drawn again if one asks, and a list is spelled at the man holding it. What algorithmacy names is what the same person needs when the third stops being sayable. Competence with a third that can be spelled, demonstrated, and drawn again is ordinary social competence, and marking that boundary is what this film is good for.</w:t>
      </w:r>
    </w:p>
    <w:p>
      <w:pPr>
        <w:pStyle w:val="BodyText"/>
      </w:pPr>
      <w:r>
        <w:t xml:space="preserve">At the last door the rule arrives out loud: past two o’clock, everybody out, you gotta be somewhere and you can’t be here. The room empties into the street, where the film’s last talkers are still going. The door that cleared them refused no argument; it stated a time and emptied the room.</w:t>
      </w:r>
    </w:p>
    <w:bookmarkEnd w:id="50"/>
    <w:bookmarkStart w:id="51" w:name="bibliography"/>
    <w:p>
      <w:pPr>
        <w:pStyle w:val="Heading2"/>
      </w:pPr>
      <w:r>
        <w:t xml:space="preserve">Bibliography</w:t>
      </w:r>
    </w:p>
    <w:p>
      <w:pPr>
        <w:pStyle w:val="FirstParagraph"/>
        <w:spacing w:after="160" w:line="276" w:lineRule="auto"/>
        <w:ind w:left="720" w:hanging="720"/>
      </w:pPr>
      <w:r>
        <w:t xml:space="preserve">Amazon.com, Inc. </w:t>
      </w:r>
      <w:r>
        <w:t xml:space="preserve">“Prime Video Direct Content Providers: Licensing Consideration and Title Review.”</w:t>
      </w:r>
      <w:r>
        <w:t xml:space="preserve"> </w:t>
      </w:r>
      <w:r>
        <w:t xml:space="preserve">Prime Video Tech Docs. Last updated August 5, 2025. Accessed August 1, 2026.</w:t>
      </w:r>
    </w:p>
    <w:p>
      <w:pPr>
        <w:pStyle w:val="BodyText"/>
        <w:spacing w:after="160" w:line="276" w:lineRule="auto"/>
        <w:ind w:left="720" w:hanging="720"/>
      </w:pPr>
      <w:r>
        <w:t xml:space="preserve">Bank for International Settlements.</w:t>
      </w:r>
      <w:r>
        <w:t xml:space="preserve"> </w:t>
      </w:r>
      <w:r>
        <w:rPr>
          <w:i/>
          <w:iCs/>
        </w:rPr>
        <w:t xml:space="preserve">Quarterly Review</w:t>
      </w:r>
      <w:r>
        <w:t xml:space="preserve">. Basel: BIS, December 2019.</w:t>
      </w:r>
    </w:p>
    <w:p>
      <w:pPr>
        <w:pStyle w:val="BodyText"/>
        <w:spacing w:after="160" w:line="276" w:lineRule="auto"/>
        <w:ind w:left="720" w:hanging="720"/>
      </w:pPr>
      <w:r>
        <w:t xml:space="preserve">Busch, Andrew M.</w:t>
      </w:r>
      <w:r>
        <w:t xml:space="preserve"> </w:t>
      </w:r>
      <w:r>
        <w:t xml:space="preserve">“Whose</w:t>
      </w:r>
      <w:r>
        <w:t xml:space="preserve"> </w:t>
      </w:r>
      <w:r>
        <w:t xml:space="preserve">‘Sense of Place’</w:t>
      </w:r>
      <w:r>
        <w:t xml:space="preserve">? Topophilia, the Grassroots, and Urbanization in Austin, Texas.”</w:t>
      </w:r>
      <w:r>
        <w:t xml:space="preserve"> </w:t>
      </w:r>
      <w:r>
        <w:rPr>
          <w:i/>
          <w:iCs/>
        </w:rPr>
        <w:t xml:space="preserve">American Quarterly</w:t>
      </w:r>
      <w:r>
        <w:t xml:space="preserve"> </w:t>
      </w:r>
      <w:r>
        <w:t xml:space="preserve">63, no. 2 (2011): 399–408.</w:t>
      </w:r>
    </w:p>
    <w:p>
      <w:pPr>
        <w:pStyle w:val="BodyText"/>
        <w:spacing w:after="160" w:line="276" w:lineRule="auto"/>
        <w:ind w:left="720" w:hanging="720"/>
      </w:pPr>
      <w:r>
        <w:t xml:space="preserve">Erickson, Mary P.</w:t>
      </w:r>
      <w:r>
        <w:t xml:space="preserve"> </w:t>
      </w:r>
      <w:r>
        <w:t xml:space="preserve">“</w:t>
      </w:r>
      <w:r>
        <w:t xml:space="preserve">‘I Think I Still Qualify as a Slacker … Just One That’s Currently Lucky’</w:t>
      </w:r>
      <w:r>
        <w:t xml:space="preserve">: The Myths of</w:t>
      </w:r>
      <w:r>
        <w:t xml:space="preserve"> </w:t>
      </w:r>
      <w:r>
        <w:rPr>
          <w:i/>
          <w:iCs/>
        </w:rPr>
        <w:t xml:space="preserve">Slacker</w:t>
      </w:r>
      <w:r>
        <w:t xml:space="preserve">, Austin, and Richard Linklater.”</w:t>
      </w:r>
      <w:r>
        <w:t xml:space="preserve"> </w:t>
      </w:r>
      <w:r>
        <w:t xml:space="preserve">In</w:t>
      </w:r>
      <w:r>
        <w:t xml:space="preserve"> </w:t>
      </w:r>
      <w:r>
        <w:rPr>
          <w:i/>
          <w:iCs/>
        </w:rPr>
        <w:t xml:space="preserve">ReFocus: The Films of Richard Linklater</w:t>
      </w:r>
      <w:r>
        <w:t xml:space="preserve">, edited by Kim Wilkins and Timotheus Vermeulen, 15–33. Edinburgh: Edinburgh University Press, 2022.</w:t>
      </w:r>
    </w:p>
    <w:p>
      <w:pPr>
        <w:pStyle w:val="BodyText"/>
        <w:spacing w:after="160" w:line="276" w:lineRule="auto"/>
        <w:ind w:left="720" w:hanging="720"/>
      </w:pPr>
      <w:r>
        <w:t xml:space="preserve">Foreign Exchange Committee, Federal Reserve Bank of New York.</w:t>
      </w:r>
      <w:r>
        <w:t xml:space="preserve"> </w:t>
      </w:r>
      <w:r>
        <w:rPr>
          <w:i/>
          <w:iCs/>
        </w:rPr>
        <w:t xml:space="preserve">Annual Report 1991</w:t>
      </w:r>
      <w:r>
        <w:t xml:space="preserve">. New York: Federal Reserve Bank of New York, 1992.</w:t>
      </w:r>
    </w:p>
    <w:p>
      <w:pPr>
        <w:pStyle w:val="BodyText"/>
        <w:spacing w:after="160" w:line="276" w:lineRule="auto"/>
        <w:ind w:left="720" w:hanging="720"/>
      </w:pPr>
      <w:r>
        <w:t xml:space="preserve">Global Foreign Exchange Committee.</w:t>
      </w:r>
      <w:r>
        <w:t xml:space="preserve"> </w:t>
      </w:r>
      <w:r>
        <w:rPr>
          <w:i/>
          <w:iCs/>
        </w:rPr>
        <w:t xml:space="preserve">FX Global Code</w:t>
      </w:r>
      <w:r>
        <w:t xml:space="preserve">. Updated December 2024.</w:t>
      </w:r>
    </w:p>
    <w:p>
      <w:pPr>
        <w:pStyle w:val="BodyText"/>
        <w:spacing w:after="160" w:line="276" w:lineRule="auto"/>
        <w:ind w:left="720" w:hanging="720"/>
      </w:pPr>
      <w:r>
        <w:t xml:space="preserve">Long, Joshua.</w:t>
      </w:r>
      <w:r>
        <w:t xml:space="preserve"> </w:t>
      </w:r>
      <w:r>
        <w:rPr>
          <w:i/>
          <w:iCs/>
        </w:rPr>
        <w:t xml:space="preserve">Weird City: Sense of Place and Creative Resistance in Austin, Texas</w:t>
      </w:r>
      <w:r>
        <w:t xml:space="preserve">. Austin: University of Texas Press, 2010.</w:t>
      </w:r>
    </w:p>
    <w:p>
      <w:pPr>
        <w:pStyle w:val="BodyText"/>
        <w:spacing w:after="160" w:line="276" w:lineRule="auto"/>
        <w:ind w:left="720" w:hanging="720"/>
      </w:pPr>
      <w:r>
        <w:t xml:space="preserve">LSEG.</w:t>
      </w:r>
      <w:r>
        <w:t xml:space="preserve"> </w:t>
      </w:r>
      <w:r>
        <w:rPr>
          <w:i/>
          <w:iCs/>
        </w:rPr>
        <w:t xml:space="preserve">LSEG FX SEF Rulebook</w:t>
      </w:r>
      <w:r>
        <w:t xml:space="preserve">. Version 4.1, effective August 11, 2026.</w:t>
      </w:r>
    </w:p>
    <w:p>
      <w:pPr>
        <w:pStyle w:val="BodyText"/>
        <w:spacing w:after="160" w:line="276" w:lineRule="auto"/>
        <w:ind w:left="720" w:hanging="720"/>
      </w:pPr>
      <w:r>
        <w:t xml:space="preserve">———.</w:t>
      </w:r>
      <w:r>
        <w:t xml:space="preserve"> </w:t>
      </w:r>
      <w:r>
        <w:rPr>
          <w:i/>
          <w:iCs/>
        </w:rPr>
        <w:t xml:space="preserve">LSEG FX UK MTF Rule Book</w:t>
      </w:r>
      <w:r>
        <w:t xml:space="preserve">. Version 1.2, effective December 1, 2025.</w:t>
      </w:r>
    </w:p>
    <w:p>
      <w:pPr>
        <w:pStyle w:val="BodyText"/>
        <w:spacing w:after="160" w:line="276" w:lineRule="auto"/>
        <w:ind w:left="720" w:hanging="720"/>
      </w:pPr>
      <w:r>
        <w:t xml:space="preserve">Reich, Charles A.</w:t>
      </w:r>
      <w:r>
        <w:t xml:space="preserve"> </w:t>
      </w:r>
      <w:r>
        <w:t xml:space="preserve">“The New Property.”</w:t>
      </w:r>
      <w:r>
        <w:t xml:space="preserve"> </w:t>
      </w:r>
      <w:r>
        <w:rPr>
          <w:i/>
          <w:iCs/>
        </w:rPr>
        <w:t xml:space="preserve">The Yale Law Journal</w:t>
      </w:r>
      <w:r>
        <w:t xml:space="preserve"> </w:t>
      </w:r>
      <w:r>
        <w:t xml:space="preserve">73, no. 5 (1964): 733–787.</w:t>
      </w:r>
    </w:p>
    <w:p>
      <w:pPr>
        <w:pStyle w:val="BodyText"/>
        <w:spacing w:after="160" w:line="276" w:lineRule="auto"/>
        <w:ind w:left="720" w:hanging="720"/>
      </w:pPr>
      <w:r>
        <w:t xml:space="preserve">Rideshare Drivers United and Asian Law Caucus.</w:t>
      </w:r>
      <w:r>
        <w:t xml:space="preserve"> </w:t>
      </w:r>
      <w:r>
        <w:rPr>
          <w:i/>
          <w:iCs/>
        </w:rPr>
        <w:t xml:space="preserve">Fired by an App: The Toll of Secret Algorithms and Unchecked Discrimination on California Rideshare Drivers</w:t>
      </w:r>
      <w:r>
        <w:t xml:space="preserve">. February 2023.</w:t>
      </w:r>
    </w:p>
    <w:p>
      <w:pPr>
        <w:pStyle w:val="BodyText"/>
        <w:spacing w:after="160" w:line="276" w:lineRule="auto"/>
        <w:ind w:left="720" w:hanging="720"/>
      </w:pPr>
      <w:r>
        <w:t xml:space="preserve">Royce, Josiah.</w:t>
      </w:r>
      <w:r>
        <w:t xml:space="preserve"> </w:t>
      </w:r>
      <w:r>
        <w:rPr>
          <w:i/>
          <w:iCs/>
        </w:rPr>
        <w:t xml:space="preserve">The Problem of Christianity</w:t>
      </w:r>
      <w:r>
        <w:t xml:space="preserve">. 2 vols. New York: Macmillan, 1913. Reprinted in one volume, Chicago: University of Chicago Press, 1968.</w:t>
      </w:r>
    </w:p>
    <w:p>
      <w:pPr>
        <w:pStyle w:val="BodyText"/>
        <w:spacing w:after="160" w:line="276" w:lineRule="auto"/>
        <w:ind w:left="720" w:hanging="720"/>
      </w:pPr>
      <w:r>
        <w:t xml:space="preserve">Schegloff, Emanuel A.</w:t>
      </w:r>
      <w:r>
        <w:t xml:space="preserve"> </w:t>
      </w:r>
      <w:r>
        <w:t xml:space="preserve">“Sequencing in Conversational Openings.”</w:t>
      </w:r>
      <w:r>
        <w:t xml:space="preserve"> </w:t>
      </w:r>
      <w:r>
        <w:rPr>
          <w:i/>
          <w:iCs/>
        </w:rPr>
        <w:t xml:space="preserve">American Anthropologist</w:t>
      </w:r>
      <w:r>
        <w:t xml:space="preserve"> </w:t>
      </w:r>
      <w:r>
        <w:t xml:space="preserve">70, no. 6 (1968): 1075–1095. Reprinted in</w:t>
      </w:r>
      <w:r>
        <w:t xml:space="preserve"> </w:t>
      </w:r>
      <w:r>
        <w:rPr>
          <w:i/>
          <w:iCs/>
        </w:rPr>
        <w:t xml:space="preserve">Directions in Sociolinguistics: The Ethnography of Communication</w:t>
      </w:r>
      <w:r>
        <w:t xml:space="preserve">, edited by John J. Gumperz and Dell Hymes, 346–380. New York: Holt, Rinehart and Winston, 1972.</w:t>
      </w:r>
    </w:p>
    <w:p>
      <w:pPr>
        <w:pStyle w:val="BodyText"/>
        <w:spacing w:after="160" w:line="276" w:lineRule="auto"/>
        <w:ind w:left="720" w:hanging="720"/>
      </w:pPr>
      <w:r>
        <w:t xml:space="preserve">Schlager, Edella, and Elinor Ostrom.</w:t>
      </w:r>
      <w:r>
        <w:t xml:space="preserve"> </w:t>
      </w:r>
      <w:r>
        <w:t xml:space="preserve">“Property-Rights Regimes and Natural Resources: A Conceptual Analysis.”</w:t>
      </w:r>
      <w:r>
        <w:t xml:space="preserve"> </w:t>
      </w:r>
      <w:r>
        <w:rPr>
          <w:i/>
          <w:iCs/>
        </w:rPr>
        <w:t xml:space="preserve">Land Economics</w:t>
      </w:r>
      <w:r>
        <w:t xml:space="preserve"> </w:t>
      </w:r>
      <w:r>
        <w:t xml:space="preserve">68, no. 3 (1992): 249–262.</w:t>
      </w:r>
    </w:p>
    <w:p>
      <w:pPr>
        <w:pStyle w:val="BodyText"/>
        <w:spacing w:after="160" w:line="276" w:lineRule="auto"/>
        <w:ind w:left="720" w:hanging="720"/>
      </w:pPr>
      <w:r>
        <w:t xml:space="preserve">Simmel, Georg.</w:t>
      </w:r>
      <w:r>
        <w:t xml:space="preserve"> </w:t>
      </w:r>
      <w:r>
        <w:rPr>
          <w:i/>
          <w:iCs/>
        </w:rPr>
        <w:t xml:space="preserve">The Sociology of Georg Simmel</w:t>
      </w:r>
      <w:r>
        <w:t xml:space="preserve">. Translated and edited by Kurt H. Wolff. Glencoe, IL: The Free Press, 1950. Originally published as</w:t>
      </w:r>
      <w:r>
        <w:t xml:space="preserve"> </w:t>
      </w:r>
      <w:r>
        <w:rPr>
          <w:i/>
          <w:iCs/>
        </w:rPr>
        <w:t xml:space="preserve">Soziologie</w:t>
      </w:r>
      <w:r>
        <w:t xml:space="preserve"> </w:t>
      </w:r>
      <w:r>
        <w:t xml:space="preserve">(Leipzig: Duncker &amp; Humblot, 1908).</w:t>
      </w:r>
    </w:p>
    <w:p>
      <w:pPr>
        <w:pStyle w:val="BodyText"/>
        <w:spacing w:after="160" w:line="276" w:lineRule="auto"/>
        <w:ind w:left="720" w:hanging="720"/>
      </w:pPr>
      <w:r>
        <w:t xml:space="preserve">Stark, David, and Ivana Pais.</w:t>
      </w:r>
      <w:r>
        <w:t xml:space="preserve"> </w:t>
      </w:r>
      <w:r>
        <w:t xml:space="preserve">“Algorithmic Management in the Platform Economy.”</w:t>
      </w:r>
      <w:r>
        <w:t xml:space="preserve"> </w:t>
      </w:r>
      <w:r>
        <w:rPr>
          <w:i/>
          <w:iCs/>
        </w:rPr>
        <w:t xml:space="preserve">Sociologica</w:t>
      </w:r>
      <w:r>
        <w:t xml:space="preserve"> </w:t>
      </w:r>
      <w:r>
        <w:t xml:space="preserve">14, no. 3 (2020): 47–72.</w:t>
      </w:r>
    </w:p>
    <w:p>
      <w:pPr>
        <w:pStyle w:val="BodyText"/>
        <w:spacing w:after="160" w:line="276" w:lineRule="auto"/>
        <w:ind w:left="720" w:hanging="720"/>
      </w:pPr>
      <w:r>
        <w:t xml:space="preserve">U.S. Bureau of the Census.</w:t>
      </w:r>
      <w:r>
        <w:t xml:space="preserve"> </w:t>
      </w:r>
      <w:r>
        <w:rPr>
          <w:i/>
          <w:iCs/>
        </w:rPr>
        <w:t xml:space="preserve">1990 Census of Housing, General Housing Characteristics: Texas</w:t>
      </w:r>
      <w:r>
        <w:t xml:space="preserve">. 1990 CH-1-45. Washington, DC: GPO, 1991.</w:t>
      </w:r>
    </w:p>
    <w:p>
      <w:pPr>
        <w:pStyle w:val="BodyText"/>
        <w:spacing w:after="160" w:line="276" w:lineRule="auto"/>
        <w:ind w:left="720" w:hanging="720"/>
      </w:pPr>
      <w:r>
        <w:t xml:space="preserve">———.</w:t>
      </w:r>
      <w:r>
        <w:t xml:space="preserve"> </w:t>
      </w:r>
      <w:r>
        <w:rPr>
          <w:i/>
          <w:iCs/>
        </w:rPr>
        <w:t xml:space="preserve">1990 Census of Population and Housing, Population and Housing Unit Counts: Texas</w:t>
      </w:r>
      <w:r>
        <w:t xml:space="preserve">. 1990 CPH-2-45. Washington, DC: GPO, 1993.</w:t>
      </w:r>
    </w:p>
    <w:p>
      <w:pPr>
        <w:pStyle w:val="BodyText"/>
        <w:spacing w:after="160" w:line="276" w:lineRule="auto"/>
        <w:ind w:left="720" w:hanging="720"/>
      </w:pPr>
      <w:r>
        <w:t xml:space="preserve">U.S. Department of Education, National Center for Education Statistics. IPEDS Fall Enrollment 1989, file EF1989_A.</w:t>
      </w:r>
    </w:p>
    <w:bookmarkEnd w:id="51"/>
    <w:bookmarkEnd w:id="52"/>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Georg Simmel,</w:t>
      </w:r>
      <w:r>
        <w:t xml:space="preserve"> </w:t>
      </w:r>
      <w:r>
        <w:rPr>
          <w:i/>
          <w:iCs/>
        </w:rPr>
        <w:t xml:space="preserve">The Sociology of Georg Simmel</w:t>
      </w:r>
      <w:r>
        <w:t xml:space="preserve">, trans. and ed. Kurt H. Wolff (Glencoe, IL: The Free Press, 1950).</w:t>
      </w:r>
      <w:r>
        <w:t xml:space="preserve"> </w:t>
      </w:r>
      <w:r>
        <w:t xml:space="preserve">“The Triad”</w:t>
      </w:r>
      <w:r>
        <w:t xml:space="preserve"> </w:t>
      </w:r>
      <w:r>
        <w:t xml:space="preserve">is chapter IV, 145–169: the non-partisan and the mediator at 145–47, the</w:t>
      </w:r>
      <w:r>
        <w:t xml:space="preserve"> </w:t>
      </w:r>
      <w:r>
        <w:rPr>
          <w:i/>
          <w:iCs/>
        </w:rPr>
        <w:t xml:space="preserve">tertius gaudens</w:t>
      </w:r>
      <w:r>
        <w:t xml:space="preserve"> </w:t>
      </w:r>
      <w:r>
        <w:t xml:space="preserve">at 154–62,</w:t>
      </w:r>
      <w:r>
        <w:t xml:space="preserve"> </w:t>
      </w:r>
      <w:r>
        <w:rPr>
          <w:i/>
          <w:iCs/>
        </w:rPr>
        <w:t xml:space="preserve">divide et impera</w:t>
      </w:r>
      <w:r>
        <w:t xml:space="preserve"> </w:t>
      </w:r>
      <w:r>
        <w:t xml:space="preserve">at 162, with the prohibition example at 163–64.</w:t>
      </w:r>
    </w:p>
  </w:footnote>
  <w:footnote w:id="11">
    <w:p>
      <w:pPr>
        <w:pStyle w:val="FootnoteText"/>
      </w:pPr>
      <w:r>
        <w:rPr>
          <w:rStyle w:val="FootnoteReference"/>
        </w:rPr>
        <w:footnoteRef/>
      </w:r>
      <w:r>
        <w:t xml:space="preserve"> </w:t>
      </w:r>
      <w:r>
        <w:t xml:space="preserve">Simmel,</w:t>
      </w:r>
      <w:r>
        <w:t xml:space="preserve"> </w:t>
      </w:r>
      <w:r>
        <w:rPr>
          <w:i/>
          <w:iCs/>
        </w:rPr>
        <w:t xml:space="preserve">Sociology</w:t>
      </w:r>
      <w:r>
        <w:t xml:space="preserve">, 145. The English wording is Wolff’s and I have not been able to verify it against a copy of his translation; the passage is confirmed verbatim against the German original,</w:t>
      </w:r>
      <w:r>
        <w:t xml:space="preserve"> </w:t>
      </w:r>
      <w:r>
        <w:rPr>
          <w:i/>
          <w:iCs/>
        </w:rPr>
        <w:t xml:space="preserve">Soziologie</w:t>
      </w:r>
      <w:r>
        <w:t xml:space="preserve"> </w:t>
      </w:r>
      <w:r>
        <w:t xml:space="preserve">(Leipzig: Duncker &amp; Humblot, 1908), chap. 2, p. 103, where the deferral reads</w:t>
      </w:r>
      <w:r>
        <w:t xml:space="preserve"> </w:t>
      </w:r>
      <w:r>
        <w:t xml:space="preserve">“Diese gesellschaftsbildende Vermittlung eines dritten Elementes ist indes in späterem Zusammenhang zu behandeln.”</w:t>
      </w:r>
      <w:r>
        <w:t xml:space="preserve"> </w:t>
      </w:r>
      <w:r>
        <w:rPr>
          <w:i/>
          <w:iCs/>
        </w:rPr>
        <w:t xml:space="preserve">Behandeln</w:t>
      </w:r>
      <w:r>
        <w:t xml:space="preserve"> </w:t>
      </w:r>
      <w:r>
        <w:t xml:space="preserve">is still-to-be-treated, not dismissed. Simmel’s stated reason for setting the case aside is the distance between the third element and the other two, and the absence of properly sociological interactions among all three alike.</w:t>
      </w:r>
    </w:p>
  </w:footnote>
  <w:footnote w:id="12">
    <w:p>
      <w:pPr>
        <w:pStyle w:val="FootnoteText"/>
      </w:pPr>
      <w:r>
        <w:rPr>
          <w:rStyle w:val="FootnoteReference"/>
        </w:rPr>
        <w:footnoteRef/>
      </w:r>
      <w:r>
        <w:t xml:space="preserve"> </w:t>
      </w:r>
      <w:r>
        <w:t xml:space="preserve">Dialogue throughout this chapter is quoted from the film’s subtitle track, via a subtitle-derived transcript carrying dialogue only and no speaker names. Subtitles compress and paraphrase, and no quotation here has yet been confirmed against the Criterion disc; six candidate lines whose wording or placement the project’s records dispute are withheld from quotation entirely. Segment numbers follow my division of the film into thirty-five segments, thirty-four of which carry dialogue.</w:t>
      </w:r>
      <w:r>
        <w:t xml:space="preserve"> </w:t>
      </w:r>
      <w:r>
        <w:rPr>
          <w:i/>
          <w:iCs/>
        </w:rPr>
        <w:t xml:space="preserve">Slacker</w:t>
      </w:r>
      <w:r>
        <w:t xml:space="preserve">, directed by Richard Linklater (Austin, TX: Detour Filmproduction, 1990; distributed by Orion Classics, 1991).</w:t>
      </w:r>
    </w:p>
  </w:footnote>
  <w:footnote w:id="14">
    <w:p>
      <w:pPr>
        <w:pStyle w:val="FootnoteText"/>
      </w:pPr>
      <w:r>
        <w:rPr>
          <w:rStyle w:val="FootnoteReference"/>
        </w:rPr>
        <w:footnoteRef/>
      </w:r>
      <w:r>
        <w:t xml:space="preserve"> </w:t>
      </w:r>
      <w:r>
        <w:t xml:space="preserve">Josiah Royce,</w:t>
      </w:r>
      <w:r>
        <w:t xml:space="preserve"> </w:t>
      </w:r>
      <w:r>
        <w:rPr>
          <w:i/>
          <w:iCs/>
        </w:rPr>
        <w:t xml:space="preserve">The Problem of Christianity</w:t>
      </w:r>
      <w:r>
        <w:t xml:space="preserve"> </w:t>
      </w:r>
      <w:r>
        <w:t xml:space="preserve">(New York: Macmillan, 1913), 2:50 for the community of memory and 2:51 for the community of expectation; in the one-volume reset (Chicago: University of Chicago Press, 1968), 248 for both. Royce’s three constituting conditions are at 2:60–61, 2:67, and 2:68 (1968: 253, 255, 256).</w:t>
      </w:r>
    </w:p>
  </w:footnote>
  <w:footnote w:id="15">
    <w:p>
      <w:pPr>
        <w:pStyle w:val="FootnoteText"/>
      </w:pPr>
      <w:r>
        <w:rPr>
          <w:rStyle w:val="FootnoteReference"/>
        </w:rPr>
        <w:footnoteRef/>
      </w:r>
      <w:r>
        <w:t xml:space="preserve"> </w:t>
      </w:r>
      <w:r>
        <w:t xml:space="preserve">Royce,</w:t>
      </w:r>
      <w:r>
        <w:t xml:space="preserve"> </w:t>
      </w:r>
      <w:r>
        <w:rPr>
          <w:i/>
          <w:iCs/>
        </w:rPr>
        <w:t xml:space="preserve">Problem of Christianity</w:t>
      </w:r>
      <w:r>
        <w:t xml:space="preserve">, 2:46 (1968: 247).</w:t>
      </w:r>
    </w:p>
  </w:footnote>
  <w:footnote w:id="16">
    <w:p>
      <w:pPr>
        <w:pStyle w:val="FootnoteText"/>
      </w:pPr>
      <w:r>
        <w:rPr>
          <w:rStyle w:val="FootnoteReference"/>
        </w:rPr>
        <w:footnoteRef/>
      </w:r>
      <w:r>
        <w:t xml:space="preserve"> </w:t>
      </w:r>
      <w:r>
        <w:t xml:space="preserve">Royce,</w:t>
      </w:r>
      <w:r>
        <w:t xml:space="preserve"> </w:t>
      </w:r>
      <w:r>
        <w:rPr>
          <w:i/>
          <w:iCs/>
        </w:rPr>
        <w:t xml:space="preserve">Problem of Christianity</w:t>
      </w:r>
      <w:r>
        <w:t xml:space="preserve">, 2:140 (1968: 286). The three terms are named at 2:142 (1968: 287): the interpreter, the object interpreted, and the person addressed. Royce credits the thesis to Peirce on the page.</w:t>
      </w:r>
    </w:p>
  </w:footnote>
  <w:footnote w:id="17">
    <w:p>
      <w:pPr>
        <w:pStyle w:val="FootnoteText"/>
      </w:pPr>
      <w:r>
        <w:rPr>
          <w:rStyle w:val="FootnoteReference"/>
        </w:rPr>
        <w:footnoteRef/>
      </w:r>
      <w:r>
        <w:t xml:space="preserve"> </w:t>
      </w:r>
      <w:r>
        <w:t xml:space="preserve">Royce,</w:t>
      </w:r>
      <w:r>
        <w:t xml:space="preserve"> </w:t>
      </w:r>
      <w:r>
        <w:rPr>
          <w:i/>
          <w:iCs/>
        </w:rPr>
        <w:t xml:space="preserve">Problem of Christianity</w:t>
      </w:r>
      <w:r>
        <w:t xml:space="preserve">, 2:124 (1968: 279); the flat statement of the same point is at 2:188 (1968: 306).</w:t>
      </w:r>
    </w:p>
  </w:footnote>
  <w:footnote w:id="18">
    <w:p>
      <w:pPr>
        <w:pStyle w:val="FootnoteText"/>
      </w:pPr>
      <w:r>
        <w:rPr>
          <w:rStyle w:val="FootnoteReference"/>
        </w:rPr>
        <w:footnoteRef/>
      </w:r>
      <w:r>
        <w:t xml:space="preserve"> </w:t>
      </w:r>
      <w:r>
        <w:t xml:space="preserve">Royce,</w:t>
      </w:r>
      <w:r>
        <w:t xml:space="preserve"> </w:t>
      </w:r>
      <w:r>
        <w:rPr>
          <w:i/>
          <w:iCs/>
        </w:rPr>
        <w:t xml:space="preserve">Problem of Christianity</w:t>
      </w:r>
      <w:r>
        <w:t xml:space="preserve">, 2:67 (1968: 255), which requires</w:t>
      </w:r>
      <w:r>
        <w:t xml:space="preserve"> </w:t>
      </w:r>
      <w:r>
        <w:t xml:space="preserve">“distinct selves capable of social communication, and, in general, engaged in communication.”</w:t>
      </w:r>
      <w:r>
        <w:t xml:space="preserve"> </w:t>
      </w:r>
      <w:r>
        <w:t xml:space="preserve">Royce also frames membership as holding among contemporaries (2:44, 2:49); the dead are commemorated and the commemorators are the members.</w:t>
      </w:r>
    </w:p>
  </w:footnote>
  <w:footnote w:id="19">
    <w:p>
      <w:pPr>
        <w:pStyle w:val="FootnoteText"/>
      </w:pPr>
      <w:r>
        <w:rPr>
          <w:rStyle w:val="FootnoteReference"/>
        </w:rPr>
        <w:footnoteRef/>
      </w:r>
      <w:r>
        <w:t xml:space="preserve"> </w:t>
      </w:r>
      <w:r>
        <w:t xml:space="preserve">Royce,</w:t>
      </w:r>
      <w:r>
        <w:t xml:space="preserve"> </w:t>
      </w:r>
      <w:r>
        <w:rPr>
          <w:i/>
          <w:iCs/>
        </w:rPr>
        <w:t xml:space="preserve">Problem of Christianity</w:t>
      </w:r>
      <w:r>
        <w:t xml:space="preserve">, 2:148–49 (1968: 289), and 2:211 (1968: 315), where all three terms of the Community of Interpretation are selves. Royce’s Colorado Canyon passage, which comes closest to an impersonal interpreter, is subjunctive throughout.</w:t>
      </w:r>
    </w:p>
  </w:footnote>
  <w:footnote w:id="20">
    <w:p>
      <w:pPr>
        <w:pStyle w:val="FootnoteText"/>
      </w:pPr>
      <w:r>
        <w:rPr>
          <w:rStyle w:val="FootnoteReference"/>
        </w:rPr>
        <w:footnoteRef/>
      </w:r>
      <w:r>
        <w:t xml:space="preserve"> </w:t>
      </w:r>
      <w:r>
        <w:t xml:space="preserve">Emanuel A. Schegloff,</w:t>
      </w:r>
      <w:r>
        <w:t xml:space="preserve"> </w:t>
      </w:r>
      <w:r>
        <w:t xml:space="preserve">“Sequencing in Conversational Openings,”</w:t>
      </w:r>
      <w:r>
        <w:t xml:space="preserve"> </w:t>
      </w:r>
      <w:r>
        <w:rPr>
          <w:i/>
          <w:iCs/>
        </w:rPr>
        <w:t xml:space="preserve">American Anthropologist</w:t>
      </w:r>
      <w:r>
        <w:t xml:space="preserve"> </w:t>
      </w:r>
      <w:r>
        <w:t xml:space="preserve">70, no. 6 (1968): 1075–1095, quotations at 1083 and 1086; reprinted in</w:t>
      </w:r>
      <w:r>
        <w:t xml:space="preserve"> </w:t>
      </w:r>
      <w:r>
        <w:rPr>
          <w:i/>
          <w:iCs/>
        </w:rPr>
        <w:t xml:space="preserve">Directions in Sociolinguistics: The Ethnography of Communication</w:t>
      </w:r>
      <w:r>
        <w:t xml:space="preserve">, ed. John J. Gumperz and Dell Hymes (New York: Holt, Rinehart and Winston, 1972), 346–380. His corpus is</w:t>
      </w:r>
      <w:r>
        <w:t xml:space="preserve"> </w:t>
      </w:r>
      <w:r>
        <w:t xml:space="preserve">“tape-recorded phone calls to and from the complaint desk of a police department in a middle-sized Midwestern city.”</w:t>
      </w:r>
      <w:r>
        <w:t xml:space="preserve"> </w:t>
      </w:r>
      <w:r>
        <w:t xml:space="preserve">The extension to co-present strangers is his own; he counts</w:t>
      </w:r>
      <w:r>
        <w:t xml:space="preserve"> </w:t>
      </w:r>
      <w:r>
        <w:t xml:space="preserve">“</w:t>
      </w:r>
      <w:r>
        <w:t xml:space="preserve">‘Pardon me,’</w:t>
      </w:r>
      <w:r>
        <w:t xml:space="preserve"> </w:t>
      </w:r>
      <w:r>
        <w:t xml:space="preserve">when approaching a stranger”</w:t>
      </w:r>
      <w:r>
        <w:t xml:space="preserve"> </w:t>
      </w:r>
      <w:r>
        <w:t xml:space="preserve">and a tap on the shoulder among summonses (1080).</w:t>
      </w:r>
    </w:p>
  </w:footnote>
  <w:footnote w:id="22">
    <w:p>
      <w:pPr>
        <w:pStyle w:val="FootnoteText"/>
      </w:pPr>
      <w:r>
        <w:rPr>
          <w:rStyle w:val="FootnoteReference"/>
        </w:rPr>
        <w:footnoteRef/>
      </w:r>
      <w:r>
        <w:t xml:space="preserve"> </w:t>
      </w:r>
      <w:r>
        <w:t xml:space="preserve">Two coders worked all thirty-five segments from the transcript without sight of each other’s sheets, coding each for its relation to paid work and for any attempt to convert something into money. Agreement was 34/35 on the first dimension (Cohen’s κ = 0.96) and 33/35 on the second (κ = 0.91), with all three disagreements preserved rather than reconciled. Both coders returned identical segment lists for every figure cited here. The full tables, the coding scheme, and the prediction as it was recorded before the count are available from the author. The transcript is subtitle-derived, so this is a census of what can be heard and not of what the film shows.</w:t>
      </w:r>
    </w:p>
  </w:footnote>
  <w:footnote w:id="23">
    <w:p>
      <w:pPr>
        <w:pStyle w:val="FootnoteText"/>
      </w:pPr>
      <w:r>
        <w:rPr>
          <w:rStyle w:val="FootnoteReference"/>
        </w:rPr>
        <w:footnoteRef/>
      </w:r>
      <w:r>
        <w:t xml:space="preserve"> </w:t>
      </w:r>
      <w:r>
        <w:t xml:space="preserve">U.S. Bureau of the Census,</w:t>
      </w:r>
      <w:r>
        <w:t xml:space="preserve"> </w:t>
      </w:r>
      <w:r>
        <w:rPr>
          <w:i/>
          <w:iCs/>
        </w:rPr>
        <w:t xml:space="preserve">1990 Census of Population and Housing, Population and Housing Unit Counts: Texas</w:t>
      </w:r>
      <w:r>
        <w:t xml:space="preserve">, 1990 CPH-2-45, Table 9. The city’s boundaries changed over the decade. Household size fell nationally through the 1980s, which produces a gap of this kind with no surplus, so the figure is offered as context rather than as evidence of overbuilding.</w:t>
      </w:r>
    </w:p>
  </w:footnote>
  <w:footnote w:id="24">
    <w:p>
      <w:pPr>
        <w:pStyle w:val="FootnoteText"/>
      </w:pPr>
      <w:r>
        <w:rPr>
          <w:rStyle w:val="FootnoteReference"/>
        </w:rPr>
        <w:footnoteRef/>
      </w:r>
      <w:r>
        <w:t xml:space="preserve"> </w:t>
      </w:r>
      <w:r>
        <w:t xml:space="preserve">Real Estate Center, Texas A&amp;M University,</w:t>
      </w:r>
      <w:r>
        <w:t xml:space="preserve"> </w:t>
      </w:r>
      <w:r>
        <w:rPr>
          <w:i/>
          <w:iCs/>
        </w:rPr>
        <w:t xml:space="preserve">Texas Real Estate Center Trends</w:t>
      </w:r>
      <w:r>
        <w:t xml:space="preserve"> </w:t>
      </w:r>
      <w:r>
        <w:t xml:space="preserve">3, no. 8 (April 1990), Table 1.</w:t>
      </w:r>
    </w:p>
  </w:footnote>
  <w:footnote w:id="25">
    <w:p>
      <w:pPr>
        <w:pStyle w:val="FootnoteText"/>
      </w:pPr>
      <w:r>
        <w:rPr>
          <w:rStyle w:val="FootnoteReference"/>
        </w:rPr>
        <w:footnoteRef/>
      </w:r>
      <w:r>
        <w:t xml:space="preserve"> </w:t>
      </w:r>
      <w:r>
        <w:t xml:space="preserve">U.S. Bureau of the Census,</w:t>
      </w:r>
      <w:r>
        <w:t xml:space="preserve"> </w:t>
      </w:r>
      <w:r>
        <w:rPr>
          <w:i/>
          <w:iCs/>
        </w:rPr>
        <w:t xml:space="preserve">1990 Census of Housing, General Housing Characteristics: Texas</w:t>
      </w:r>
      <w:r>
        <w:t xml:space="preserve">, 1990 CH-1-45, sec. 1, Table 1; U.S. Department of Education, NCES, IPEDS Fall Enrollment 1989, file EF1989_A, UNITID 228778.</w:t>
      </w:r>
    </w:p>
  </w:footnote>
  <w:footnote w:id="26">
    <w:p>
      <w:pPr>
        <w:pStyle w:val="FootnoteText"/>
      </w:pPr>
      <w:r>
        <w:rPr>
          <w:rStyle w:val="FootnoteReference"/>
        </w:rPr>
        <w:footnoteRef/>
      </w:r>
      <w:r>
        <w:t xml:space="preserve"> </w:t>
      </w:r>
      <w:r>
        <w:t xml:space="preserve">Census,</w:t>
      </w:r>
      <w:r>
        <w:t xml:space="preserve"> </w:t>
      </w:r>
      <w:r>
        <w:rPr>
          <w:i/>
          <w:iCs/>
        </w:rPr>
        <w:t xml:space="preserve">General Housing Characteristics: Texas</w:t>
      </w:r>
      <w:r>
        <w:t xml:space="preserve">, 1990 CH-1-45, sec. 1, Table 1.</w:t>
      </w:r>
    </w:p>
  </w:footnote>
  <w:footnote w:id="27">
    <w:p>
      <w:pPr>
        <w:pStyle w:val="FootnoteText"/>
      </w:pPr>
      <w:r>
        <w:rPr>
          <w:rStyle w:val="FootnoteReference"/>
        </w:rPr>
        <w:footnoteRef/>
      </w:r>
      <w:r>
        <w:t xml:space="preserve"> </w:t>
      </w:r>
      <w:r>
        <w:rPr>
          <w:i/>
          <w:iCs/>
        </w:rPr>
        <w:t xml:space="preserve">New York Times</w:t>
      </w:r>
      <w:r>
        <w:t xml:space="preserve">, 7 August 1991.</w:t>
      </w:r>
    </w:p>
  </w:footnote>
  <w:footnote w:id="28">
    <w:p>
      <w:pPr>
        <w:pStyle w:val="FootnoteText"/>
      </w:pPr>
      <w:r>
        <w:rPr>
          <w:rStyle w:val="FootnoteReference"/>
        </w:rPr>
        <w:footnoteRef/>
      </w:r>
      <w:r>
        <w:t xml:space="preserve"> </w:t>
      </w:r>
      <w:r>
        <w:t xml:space="preserve">Mary P. Erickson,</w:t>
      </w:r>
      <w:r>
        <w:t xml:space="preserve"> </w:t>
      </w:r>
      <w:r>
        <w:t xml:space="preserve">“</w:t>
      </w:r>
      <w:r>
        <w:t xml:space="preserve">‘I Think I Still Qualify as a Slacker … Just One That’s Currently Lucky’</w:t>
      </w:r>
      <w:r>
        <w:t xml:space="preserve">: The Myths of</w:t>
      </w:r>
      <w:r>
        <w:t xml:space="preserve"> </w:t>
      </w:r>
      <w:r>
        <w:rPr>
          <w:i/>
          <w:iCs/>
        </w:rPr>
        <w:t xml:space="preserve">Slacker</w:t>
      </w:r>
      <w:r>
        <w:t xml:space="preserve">, Austin, and Richard Linklater,”</w:t>
      </w:r>
      <w:r>
        <w:t xml:space="preserve"> </w:t>
      </w:r>
      <w:r>
        <w:t xml:space="preserve">in</w:t>
      </w:r>
      <w:r>
        <w:t xml:space="preserve"> </w:t>
      </w:r>
      <w:r>
        <w:rPr>
          <w:i/>
          <w:iCs/>
        </w:rPr>
        <w:t xml:space="preserve">ReFocus: The Films of Richard Linklater</w:t>
      </w:r>
      <w:r>
        <w:t xml:space="preserve">, ed. Kim Wilkins and Timotheus Vermeulen (Edinburgh: Edinburgh University Press, 2022), 15–33; Joshua Long,</w:t>
      </w:r>
      <w:r>
        <w:t xml:space="preserve"> </w:t>
      </w:r>
      <w:r>
        <w:rPr>
          <w:i/>
          <w:iCs/>
        </w:rPr>
        <w:t xml:space="preserve">Weird City: Sense of Place and Creative Resistance in Austin, Texas</w:t>
      </w:r>
      <w:r>
        <w:t xml:space="preserve"> </w:t>
      </w:r>
      <w:r>
        <w:t xml:space="preserve">(Austin: University of Texas Press, 2010). The Long quotation was located by search inside an ebook edition and its page should be confirmed against print. Long’s subject is the enclosure of Austin’s weirdness in the 2000s rather than the ecology of 1990, so he stands as the later half of the story rather than as a witness to this one. See also Andrew Busch’s review essay in</w:t>
      </w:r>
      <w:r>
        <w:t xml:space="preserve"> </w:t>
      </w:r>
      <w:r>
        <w:rPr>
          <w:i/>
          <w:iCs/>
        </w:rPr>
        <w:t xml:space="preserve">American Quarterly</w:t>
      </w:r>
      <w:r>
        <w:t xml:space="preserve"> </w:t>
      </w:r>
      <w:r>
        <w:t xml:space="preserve">63, no. 2 (2011): 399–408, which faults Long for attending to middle-class South Austin while overlooking gentrification on the east side, a caveat that bears directly on who a reaching city reaches.</w:t>
      </w:r>
    </w:p>
  </w:footnote>
  <w:footnote w:id="30">
    <w:p>
      <w:pPr>
        <w:pStyle w:val="FootnoteText"/>
      </w:pPr>
      <w:r>
        <w:rPr>
          <w:rStyle w:val="FootnoteReference"/>
        </w:rPr>
        <w:footnoteRef/>
      </w:r>
      <w:r>
        <w:t xml:space="preserve"> </w:t>
      </w:r>
      <w:r>
        <w:t xml:space="preserve">The census and both codings are mine; the two coders’ full tables, with every disagreement preserved unresolved rather than reconciled by fiat, are available from the author. Cohen’s κ corrects raw agreement for the share expected by chance.</w:t>
      </w:r>
    </w:p>
  </w:footnote>
  <w:footnote w:id="31">
    <w:p>
      <w:pPr>
        <w:pStyle w:val="FootnoteText"/>
      </w:pPr>
      <w:r>
        <w:rPr>
          <w:rStyle w:val="FootnoteReference"/>
        </w:rPr>
        <w:footnoteRef/>
      </w:r>
      <w:r>
        <w:t xml:space="preserve"> </w:t>
      </w:r>
      <w:r>
        <w:t xml:space="preserve">The equivocal seams, by segment pair. At 5→6 the line at the seam falls on the far side of my segmentation’s boundary while the coders’ notes treat it as the earlier scene’s closing beat, and a transcript without speaker names cannot assign it [DISC:T2]. At 12→13 the reply at the seam answers a line the transcript never carries [DISC:T3]. At 13→14,</w:t>
      </w:r>
      <w:r>
        <w:t xml:space="preserve"> </w:t>
      </w:r>
      <w:r>
        <w:t xml:space="preserve">“They’re back”</w:t>
      </w:r>
      <w:r>
        <w:t xml:space="preserve"> </w:t>
      </w:r>
      <w:r>
        <w:t xml:space="preserve">names no referent anywhere in the dialogue [DISC:T4]. At 22→23 an object changes hands unnamed, and if it is the rare Marquis de Sade the burglars admire two lines later the seam is a bridge; if not it is bare, and this single case is what makes the figure a band rather than a number [DISC:T6]. At 34→35 the transcript simply ends, the final sequence having no dialogue, so this instrument can show neither a link nor its absence [DISC:T11]. Three pairs of segments share overlapping line ranges and several boundaries fall inside continuous exchanges, so a few codes describe where I drew a seam rather than where the film cut; they stay in the count, flagged, because deleting any of them would manufacture the point estimate the band exists to refuse. Two of the film’s neatest repetitions rest on exact subtitle wording and I argue from neither [DISC:T5].</w:t>
      </w:r>
    </w:p>
  </w:footnote>
  <w:footnote w:id="33">
    <w:p>
      <w:pPr>
        <w:pStyle w:val="FootnoteText"/>
      </w:pPr>
      <w:r>
        <w:rPr>
          <w:rStyle w:val="FootnoteReference"/>
        </w:rPr>
        <w:footnoteRef/>
      </w:r>
      <w:r>
        <w:t xml:space="preserve"> </w:t>
      </w:r>
      <w:r>
        <w:t xml:space="preserve">Amazon.com, Inc.,</w:t>
      </w:r>
      <w:r>
        <w:t xml:space="preserve"> </w:t>
      </w:r>
      <w:r>
        <w:t xml:space="preserve">“Prime Video Direct Content Providers: Licensing Consideration and Title Review,”</w:t>
      </w:r>
      <w:r>
        <w:t xml:space="preserve"> </w:t>
      </w:r>
      <w:r>
        <w:t xml:space="preserve">Prime Video Tech Docs, last updated August 5, 2025, a living page quoted as retrieved on August 1, 2026. The sentence carrying the phrase</w:t>
      </w:r>
      <w:r>
        <w:t xml:space="preserve"> </w:t>
      </w:r>
      <w:r>
        <w:t xml:space="preserve">“engagement standards”</w:t>
      </w:r>
      <w:r>
        <w:t xml:space="preserve"> </w:t>
      </w:r>
      <w:r>
        <w:t xml:space="preserve">and the words</w:t>
      </w:r>
      <w:r>
        <w:t xml:space="preserve"> </w:t>
      </w:r>
      <w:r>
        <w:t xml:space="preserve">“may be subject to removal”</w:t>
      </w:r>
      <w:r>
        <w:t xml:space="preserve"> </w:t>
      </w:r>
      <w:r>
        <w:t xml:space="preserve">follows the review sentence on the same page.</w:t>
      </w:r>
    </w:p>
  </w:footnote>
  <w:footnote w:id="34">
    <w:p>
      <w:pPr>
        <w:pStyle w:val="FootnoteText"/>
      </w:pPr>
      <w:r>
        <w:rPr>
          <w:rStyle w:val="FootnoteReference"/>
        </w:rPr>
        <w:footnoteRef/>
      </w:r>
      <w:r>
        <w:t xml:space="preserve"> </w:t>
      </w:r>
      <w:r>
        <w:t xml:space="preserve">Rideshare Drivers United and Asian Law Caucus,</w:t>
      </w:r>
      <w:r>
        <w:t xml:space="preserve"> </w:t>
      </w:r>
      <w:r>
        <w:rPr>
          <w:i/>
          <w:iCs/>
        </w:rPr>
        <w:t xml:space="preserve">Fired by an App: The Toll of Secret Algorithms and Unchecked Discrimination on California Rideshare Drivers</w:t>
      </w:r>
      <w:r>
        <w:t xml:space="preserve"> </w:t>
      </w:r>
      <w:r>
        <w:t xml:space="preserve">(report, February 2023), 15, 19. The two-thirds figure pools temporary suspension with permanent removal, and the thirty percent is of drivers who were deactivated rather than of all 810 surveyed. Recruitment ran through the union’s networks, two community organizations, and paid advertising; the report says of its own respondents that they</w:t>
      </w:r>
      <w:r>
        <w:t xml:space="preserve"> </w:t>
      </w:r>
      <w:r>
        <w:t xml:space="preserve">“may be more likely to be inclined to participate in a survey as a way of documenting or sharing their experience with deactivation.”</w:t>
      </w:r>
    </w:p>
  </w:footnote>
  <w:footnote w:id="35">
    <w:p>
      <w:pPr>
        <w:pStyle w:val="FootnoteText"/>
      </w:pPr>
      <w:r>
        <w:rPr>
          <w:rStyle w:val="FootnoteReference"/>
        </w:rPr>
        <w:footnoteRef/>
      </w:r>
      <w:r>
        <w:t xml:space="preserve"> </w:t>
      </w:r>
      <w:r>
        <w:t xml:space="preserve">David Stark and Ivana Pais,</w:t>
      </w:r>
      <w:r>
        <w:t xml:space="preserve"> </w:t>
      </w:r>
      <w:r>
        <w:t xml:space="preserve">“Algorithmic Management in the Platform Economy,”</w:t>
      </w:r>
      <w:r>
        <w:t xml:space="preserve"> </w:t>
      </w:r>
      <w:r>
        <w:rPr>
          <w:i/>
          <w:iCs/>
        </w:rPr>
        <w:t xml:space="preserve">Sociologica</w:t>
      </w:r>
      <w:r>
        <w:t xml:space="preserve"> </w:t>
      </w:r>
      <w:r>
        <w:t xml:space="preserve">14, no. 3 (2020): 47–72, at 48 and 49:</w:t>
      </w:r>
      <w:r>
        <w:t xml:space="preserve"> </w:t>
      </w:r>
      <w:r>
        <w:t xml:space="preserve">“whereas for markets the verb is contract, the verb for hierarchy is command, and for networks it is collaborate. By contrast, platforms co-opt,”</w:t>
      </w:r>
      <w:r>
        <w:t xml:space="preserve"> </w:t>
      </w:r>
      <w:r>
        <w:t xml:space="preserve">and</w:t>
      </w:r>
      <w:r>
        <w:t xml:space="preserve"> </w:t>
      </w:r>
      <w:r>
        <w:t xml:space="preserve">“platform owners co-opt the behavior of providers and users, enrolling them in the practices of algorithmic management without managerial authority having been delegated to them.”</w:t>
      </w:r>
    </w:p>
  </w:footnote>
  <w:footnote w:id="36">
    <w:p>
      <w:pPr>
        <w:pStyle w:val="FootnoteText"/>
      </w:pPr>
      <w:r>
        <w:rPr>
          <w:rStyle w:val="FootnoteReference"/>
        </w:rPr>
        <w:footnoteRef/>
      </w:r>
      <w:r>
        <w:t xml:space="preserve"> </w:t>
      </w:r>
      <w:r>
        <w:t xml:space="preserve">The counterfactual is to restore a forbidden direct edge between a third party’s two neighbours and read whether the third stays in the coordination’s irreducible core. The results are in-silico throughout, run over stylized three-element Boolean models, and classify rather than measure.</w:t>
      </w:r>
    </w:p>
  </w:footnote>
  <w:footnote w:id="39">
    <w:p>
      <w:pPr>
        <w:pStyle w:val="FootnoteText"/>
      </w:pPr>
      <w:r>
        <w:rPr>
          <w:rStyle w:val="FootnoteReference"/>
        </w:rPr>
        <w:footnoteRef/>
      </w:r>
      <w:r>
        <w:t xml:space="preserve"> </w:t>
      </w:r>
      <w:r>
        <w:t xml:space="preserve">Charles A. Reich,</w:t>
      </w:r>
      <w:r>
        <w:t xml:space="preserve"> </w:t>
      </w:r>
      <w:r>
        <w:t xml:space="preserve">“The New Property,”</w:t>
      </w:r>
      <w:r>
        <w:t xml:space="preserve"> </w:t>
      </w:r>
      <w:r>
        <w:rPr>
          <w:i/>
          <w:iCs/>
        </w:rPr>
        <w:t xml:space="preserve">Yale Law Journal</w:t>
      </w:r>
      <w:r>
        <w:t xml:space="preserve"> </w:t>
      </w:r>
      <w:r>
        <w:t xml:space="preserve">73, no. 5 (1964): 733–787.</w:t>
      </w:r>
    </w:p>
  </w:footnote>
  <w:footnote w:id="40">
    <w:p>
      <w:pPr>
        <w:pStyle w:val="FootnoteText"/>
      </w:pPr>
      <w:r>
        <w:rPr>
          <w:rStyle w:val="FootnoteReference"/>
        </w:rPr>
        <w:footnoteRef/>
      </w:r>
      <w:r>
        <w:t xml:space="preserve"> </w:t>
      </w:r>
      <w:r>
        <w:t xml:space="preserve">Reich,</w:t>
      </w:r>
      <w:r>
        <w:t xml:space="preserve"> </w:t>
      </w:r>
      <w:r>
        <w:t xml:space="preserve">“The New Property,”</w:t>
      </w:r>
      <w:r>
        <w:t xml:space="preserve"> </w:t>
      </w:r>
      <w:r>
        <w:t xml:space="preserve">741.</w:t>
      </w:r>
    </w:p>
  </w:footnote>
  <w:footnote w:id="41">
    <w:p>
      <w:pPr>
        <w:pStyle w:val="FootnoteText"/>
      </w:pPr>
      <w:r>
        <w:rPr>
          <w:rStyle w:val="FootnoteReference"/>
        </w:rPr>
        <w:footnoteRef/>
      </w:r>
      <w:r>
        <w:t xml:space="preserve"> </w:t>
      </w:r>
      <w:r>
        <w:t xml:space="preserve">Reich,</w:t>
      </w:r>
      <w:r>
        <w:t xml:space="preserve"> </w:t>
      </w:r>
      <w:r>
        <w:t xml:space="preserve">“The New Property,”</w:t>
      </w:r>
      <w:r>
        <w:t xml:space="preserve"> </w:t>
      </w:r>
      <w:r>
        <w:t xml:space="preserve">783.</w:t>
      </w:r>
    </w:p>
  </w:footnote>
  <w:footnote w:id="42">
    <w:p>
      <w:pPr>
        <w:pStyle w:val="FootnoteText"/>
      </w:pPr>
      <w:r>
        <w:rPr>
          <w:rStyle w:val="FootnoteReference"/>
        </w:rPr>
        <w:footnoteRef/>
      </w:r>
      <w:r>
        <w:t xml:space="preserve"> </w:t>
      </w:r>
      <w:r>
        <w:t xml:space="preserve">Reich,</w:t>
      </w:r>
      <w:r>
        <w:t xml:space="preserve"> </w:t>
      </w:r>
      <w:r>
        <w:t xml:space="preserve">“The New Property,”</w:t>
      </w:r>
      <w:r>
        <w:t xml:space="preserve"> </w:t>
      </w:r>
      <w:r>
        <w:t xml:space="preserve">786:</w:t>
      </w:r>
      <w:r>
        <w:t xml:space="preserve"> </w:t>
      </w:r>
      <w:r>
        <w:t xml:space="preserve">“There are many other new forms of wealth: franchises in private businesses, equities in corporations, the right to receive privately furnished utilities and services, status in private organizations. These too may need added safeguards in the future.”</w:t>
      </w:r>
    </w:p>
  </w:footnote>
  <w:footnote w:id="43">
    <w:p>
      <w:pPr>
        <w:pStyle w:val="FootnoteText"/>
      </w:pPr>
      <w:r>
        <w:rPr>
          <w:rStyle w:val="FootnoteReference"/>
        </w:rPr>
        <w:footnoteRef/>
      </w:r>
      <w:r>
        <w:t xml:space="preserve"> </w:t>
      </w:r>
      <w:r>
        <w:t xml:space="preserve">Edella Schlager and Elinor Ostrom,</w:t>
      </w:r>
      <w:r>
        <w:t xml:space="preserve"> </w:t>
      </w:r>
      <w:r>
        <w:t xml:space="preserve">“Property-Rights Regimes and Natural Resources: A Conceptual Analysis,”</w:t>
      </w:r>
      <w:r>
        <w:t xml:space="preserve"> </w:t>
      </w:r>
      <w:r>
        <w:rPr>
          <w:i/>
          <w:iCs/>
        </w:rPr>
        <w:t xml:space="preserve">Land Economics</w:t>
      </w:r>
      <w:r>
        <w:t xml:space="preserve"> </w:t>
      </w:r>
      <w:r>
        <w:t xml:space="preserve">68, no. 3 (1992): 249–262. Their claimant holds the rights of an authorized user plus the collective-choice right of management, without the right to exclude or to alienate.</w:t>
      </w:r>
    </w:p>
  </w:footnote>
  <w:footnote w:id="44">
    <w:p>
      <w:pPr>
        <w:pStyle w:val="FootnoteText"/>
      </w:pPr>
      <w:r>
        <w:rPr>
          <w:rStyle w:val="FootnoteReference"/>
        </w:rPr>
        <w:footnoteRef/>
      </w:r>
      <w:r>
        <w:t xml:space="preserve"> </w:t>
      </w:r>
      <w:r>
        <w:t xml:space="preserve">Foreign Exchange Committee, Federal Reserve Bank of New York,</w:t>
      </w:r>
      <w:r>
        <w:t xml:space="preserve"> </w:t>
      </w:r>
      <w:r>
        <w:rPr>
          <w:i/>
          <w:iCs/>
        </w:rPr>
        <w:t xml:space="preserve">Annual Report 1991</w:t>
      </w:r>
      <w:r>
        <w:t xml:space="preserve">, 8, which describes the then-planned electronic broking systems as under development in November 1991. Reuters Dealing 2000-2 opened in 1992; EBS launched in September 1993, following a funding decision in January 1990 and a formal partnership in May 1992. The film’s Dobie run was in 1990 and its New York opening on 5 July 1991, so the venues follow the film by one to three years rather than accompanying it.</w:t>
      </w:r>
    </w:p>
  </w:footnote>
  <w:footnote w:id="45">
    <w:p>
      <w:pPr>
        <w:pStyle w:val="FootnoteText"/>
      </w:pPr>
      <w:r>
        <w:rPr>
          <w:rStyle w:val="FootnoteReference"/>
        </w:rPr>
        <w:footnoteRef/>
      </w:r>
      <w:r>
        <w:t xml:space="preserve"> </w:t>
      </w:r>
      <w:r>
        <w:t xml:space="preserve">Bank for International Settlements,</w:t>
      </w:r>
      <w:r>
        <w:t xml:space="preserve"> </w:t>
      </w:r>
      <w:r>
        <w:rPr>
          <w:i/>
          <w:iCs/>
        </w:rPr>
        <w:t xml:space="preserve">Quarterly Review</w:t>
      </w:r>
      <w:r>
        <w:t xml:space="preserve">, December 2019, 41–42:</w:t>
      </w:r>
      <w:r>
        <w:t xml:space="preserve"> </w:t>
      </w:r>
      <w:r>
        <w:t xml:space="preserve">“</w:t>
      </w:r>
      <w:r>
        <w:t xml:space="preserve">‘Indirect’</w:t>
      </w:r>
      <w:r>
        <w:t xml:space="preserve"> </w:t>
      </w:r>
      <w:r>
        <w:t xml:space="preserve">refers to the involvement of a third party in the matching process. This can, for instance, be a traditional voice broker, an electronic broking platform or a multi-bank platform.”</w:t>
      </w:r>
      <w:r>
        <w:t xml:space="preserve"> </w:t>
      </w:r>
      <w:r>
        <w:t xml:space="preserve">The venues say the same from inside:</w:t>
      </w:r>
      <w:r>
        <w:t xml:space="preserve"> </w:t>
      </w:r>
      <w:r>
        <w:rPr>
          <w:i/>
          <w:iCs/>
        </w:rPr>
        <w:t xml:space="preserve">LSEG FX UK MTF Rule Book</w:t>
      </w:r>
      <w:r>
        <w:t xml:space="preserve">, v1.2, effective 1 December 2025, Rule 1.1.4, 13,</w:t>
      </w:r>
      <w:r>
        <w:t xml:space="preserve"> </w:t>
      </w:r>
      <w:r>
        <w:t xml:space="preserve">“LSEG is not a party to … Transactions conducted on the Platform. Payment and settlement … are the sole responsibility of the two Participants concerned,”</w:t>
      </w:r>
      <w:r>
        <w:t xml:space="preserve"> </w:t>
      </w:r>
      <w:r>
        <w:t xml:space="preserve">and</w:t>
      </w:r>
      <w:r>
        <w:t xml:space="preserve"> </w:t>
      </w:r>
      <w:r>
        <w:rPr>
          <w:i/>
          <w:iCs/>
        </w:rPr>
        <w:t xml:space="preserve">EBS MTF Rulebook</w:t>
      </w:r>
      <w:r>
        <w:t xml:space="preserve">, Rule 2.9, 6,</w:t>
      </w:r>
      <w:r>
        <w:t xml:space="preserve"> </w:t>
      </w:r>
      <w:r>
        <w:t xml:space="preserve">“The Operator is not a party to any Transaction.”</w:t>
      </w:r>
    </w:p>
  </w:footnote>
  <w:footnote w:id="46">
    <w:p>
      <w:pPr>
        <w:pStyle w:val="FootnoteText"/>
      </w:pPr>
      <w:r>
        <w:rPr>
          <w:rStyle w:val="FootnoteReference"/>
        </w:rPr>
        <w:footnoteRef/>
      </w:r>
      <w:r>
        <w:t xml:space="preserve"> </w:t>
      </w:r>
      <w:r>
        <w:t xml:space="preserve">The tipping is attributed to network externalities in the central-bank literature of the period and produced one dominant venue per currency pair rather than one worldwide, with EBS and Reuters splitting the major pairs between them.</w:t>
      </w:r>
    </w:p>
  </w:footnote>
  <w:footnote w:id="47">
    <w:p>
      <w:pPr>
        <w:pStyle w:val="FootnoteText"/>
      </w:pPr>
      <w:r>
        <w:rPr>
          <w:rStyle w:val="FootnoteReference"/>
        </w:rPr>
        <w:footnoteRef/>
      </w:r>
      <w:r>
        <w:t xml:space="preserve"> </w:t>
      </w:r>
      <w:r>
        <w:rPr>
          <w:i/>
          <w:iCs/>
        </w:rPr>
        <w:t xml:space="preserve">LSEG FX SEF Rulebook</w:t>
      </w:r>
      <w:r>
        <w:t xml:space="preserve">, v4.1, effective 11 August 2026, Rules 302(g)–(h), at 31, which oblige written reasons within fourteen days and provide for reconsideration;</w:t>
      </w:r>
      <w:r>
        <w:t xml:space="preserve"> </w:t>
      </w:r>
      <w:r>
        <w:rPr>
          <w:i/>
          <w:iCs/>
        </w:rPr>
        <w:t xml:space="preserve">LSEG FX UK MTF Rule Book</w:t>
      </w:r>
      <w:r>
        <w:t xml:space="preserve">, v1.2, Rule 3.1.5, at 21, permitting revocation, suspension, or restriction of access</w:t>
      </w:r>
      <w:r>
        <w:t xml:space="preserve"> </w:t>
      </w:r>
      <w:r>
        <w:t xml:space="preserve">“in the sole discretion of LSEG,”</w:t>
      </w:r>
      <w:r>
        <w:t xml:space="preserve"> </w:t>
      </w:r>
      <w:r>
        <w:t xml:space="preserve">qualified at Rule 5.1.4, at 27, only by an endeavour to give prior written notice</w:t>
      </w:r>
      <w:r>
        <w:t xml:space="preserve"> </w:t>
      </w:r>
      <w:r>
        <w:t xml:space="preserve">“to the extent it is reasonably able to.”</w:t>
      </w:r>
      <w:r>
        <w:t xml:space="preserve"> </w:t>
      </w:r>
      <w:r>
        <w:t xml:space="preserve">The FX Global Code (updated December 2024), Principle 9, obliges a platform to be transparent about how it handles an order and is silent on how it handles a party.</w:t>
      </w:r>
    </w:p>
  </w:footnote>
  <w:footnote w:id="49">
    <w:p>
      <w:pPr>
        <w:pStyle w:val="FootnoteText"/>
      </w:pPr>
      <w:r>
        <w:rPr>
          <w:rStyle w:val="FootnoteReference"/>
        </w:rPr>
        <w:footnoteRef/>
      </w:r>
      <w:r>
        <w:t xml:space="preserve"> </w:t>
      </w:r>
      <w:r>
        <w:t xml:space="preserve">The construct and its three dimensions are developed in a companion paper by the author. The definition quoted here is its own.</w:t>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line="480" w:lineRule="auto"/>
    </w:pPr>
    <w:rPr>
      <w:rFonts w:ascii="Times New Roman" w:cs="Times New Roman" w:eastAsia="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imes New Roman" w:cstheme="majorBidi" w:eastAsia="Times New Roman"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imes New Roman" w:cstheme="majorBidi" w:eastAsia="Times New Roman"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imes New Roman" w:asciiTheme="majorHAnsi" w:cs="Times New Roman" w:cstheme="majorBidi" w:eastAsia="Times New Roman" w:eastAsiaTheme="majorEastAsia" w:hAnsi="Times New Roman" w:hAnsiTheme="majorHAnsi"/>
      <w:b/>
      <w:color w:themeColor="text2" w:themeShade="BF" w:val="17365D"/>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2026-08-11T18:03:20Z</dcterms:created>
  <dcterms:modified xsi:type="dcterms:W3CDTF">2026-08-11T18:03:20Z</dcterms:modified>
</cp:coreProperties>
</file>

<file path=docProps/custom.xml><?xml version="1.0" encoding="utf-8"?>
<Properties xmlns="http://schemas.openxmlformats.org/officeDocument/2006/custom-properties" xmlns:vt="http://schemas.openxmlformats.org/officeDocument/2006/docPropsVTypes"/>
</file>