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dbf847ea8c4858f844b689696de5f4593300a5"/>
    <w:p>
      <w:pPr>
        <w:pStyle w:val="Heading1"/>
      </w:pPr>
      <w:r>
        <w:t xml:space="preserve">The Third Nobody Chose:</w:t>
      </w:r>
      <w:r>
        <w:t xml:space="preserve"> </w:t>
      </w:r>
      <w:r>
        <w:rPr>
          <w:i/>
          <w:iCs/>
        </w:rPr>
        <w:t xml:space="preserve">Slacker</w:t>
      </w:r>
      <w:r>
        <w:t xml:space="preserve">, and the Story of a Platform</w:t>
      </w:r>
    </w:p>
    <w:bookmarkStart w:id="9" w:name="roger-hunt-bentley-university"/>
    <w:p>
      <w:pPr>
        <w:pStyle w:val="Heading4"/>
      </w:pPr>
      <w:r>
        <w:t xml:space="preserve">Roger Hunt, Bentley University</w:t>
      </w:r>
    </w:p>
    <w:bookmarkEnd w:id="9"/>
    <w:bookmarkStart w:id="11" w:name="between-reich-and-stark"/>
    <w:p>
      <w:pPr>
        <w:pStyle w:val="Heading2"/>
      </w:pPr>
      <w:r>
        <w:t xml:space="preserve">1. Between Reich and Stark</w:t>
      </w:r>
    </w:p>
    <w:p>
      <w:pPr>
        <w:pStyle w:val="FirstParagraph"/>
      </w:pPr>
      <w:r>
        <w:rPr>
          <w:i/>
          <w:iCs/>
        </w:rPr>
        <w:t xml:space="preserve">Slacker</w:t>
      </w:r>
      <w:r>
        <w:t xml:space="preserve"> </w:t>
      </w:r>
      <w:r>
        <w:t xml:space="preserve">follows about a hundred people through one day in Austin. None of them has a continuous story. They talk, leave the frame, and do not return. Most of them never meet one another. The usual account says the camera joins scenes the characters do not join, and never names what the camera does when it joins them.</w:t>
      </w:r>
    </w:p>
    <w:p>
      <w:pPr>
        <w:pStyle w:val="BodyText"/>
      </w:pPr>
      <w:r>
        <w:t xml:space="preserve">A platform is a third that holds people within reach of one another and brokers none of their meetings: when it arranges one, it arranges it impersonally, knowing neither party as a party. People share a relation to something outside them; no broker pairs them. Austin holds the strangers available. The camera selects which stranger the viewer meets next. Markets, firms, and networks do not fit: the people on screen rarely contract, work under one hierarchy, or collaborate, yet the city and the camera still coordinate them. Apps and feeds are later machines built on that form.</w:t>
      </w:r>
    </w:p>
    <w:p>
      <w:pPr>
        <w:pStyle w:val="BodyText"/>
      </w:pPr>
      <w:r>
        <w:t xml:space="preserve">Four writers make different parts of it legible. Simmel names a coordinator with no known pair. Royce explains belonging when people never meet. Reich describes access held as a grant whose reasons can be withheld. Stark and Pais later give the coordinating verb: platforms co-opt, where markets contract, hierarchies command, and networks collaborate.</w:t>
      </w:r>
      <w:r>
        <w:rPr>
          <w:rStyle w:val="FootnoteReference"/>
        </w:rPr>
        <w:footnoteReference w:id="1"/>
      </w:r>
      <w:r>
        <w:t xml:space="preserve"> </w:t>
      </w:r>
      <w:r>
        <w:t xml:space="preserve">Linklater shot</w:t>
      </w:r>
      <w:r>
        <w:t xml:space="preserve"> </w:t>
      </w:r>
      <w:r>
        <w:rPr>
          <w:i/>
          <w:iCs/>
        </w:rPr>
        <w:t xml:space="preserve">Slacker</w:t>
      </w:r>
      <w:r>
        <w:t xml:space="preserve"> </w:t>
      </w:r>
      <w:r>
        <w:t xml:space="preserve">in 1990, after Reich and before Stark and Pais. The structures and powers were already available; digital systems had not yet gathered reach, selection, records, and enrollment into one apparatus.</w:t>
      </w:r>
    </w:p>
    <w:p>
      <w:pPr>
        <w:pStyle w:val="BodyText"/>
      </w:pPr>
      <w:r>
        <w:t xml:space="preserve">The film does not forecast those systems. It shows the same form unfinished. Read beside later platforms, the parallels are large, and no one shooting in Austin could have known they were filming them; the last section names the skill those systems demand as algorithmacy.</w:t>
      </w:r>
    </w:p>
    <w:bookmarkEnd w:id="11"/>
    <w:bookmarkStart w:id="15" w:name="structure-deferred-1908"/>
    <w:p>
      <w:pPr>
        <w:pStyle w:val="Heading2"/>
      </w:pPr>
      <w:r>
        <w:t xml:space="preserve">2. Structure deferred (1908)</w:t>
      </w:r>
    </w:p>
    <w:p>
      <w:pPr>
        <w:pStyle w:val="FirstParagraph"/>
      </w:pPr>
      <w:r>
        <w:t xml:space="preserve">Without a structural name, the camera’s joins look like style. Simmel’s ordinary thirds will not supply that name, because each acts on a known pair. The non-partisan and the mediator repair a relation between two identified parties. The</w:t>
      </w:r>
      <w:r>
        <w:t xml:space="preserve"> </w:t>
      </w:r>
      <w:r>
        <w:rPr>
          <w:i/>
          <w:iCs/>
        </w:rPr>
        <w:t xml:space="preserve">tertius gaudens</w:t>
      </w:r>
      <w:r>
        <w:t xml:space="preserve"> </w:t>
      </w:r>
      <w:r>
        <w:t xml:space="preserve">profits from standing between them.</w:t>
      </w:r>
      <w:r>
        <w:t xml:space="preserve"> </w:t>
      </w:r>
      <w:r>
        <w:rPr>
          <w:i/>
          <w:iCs/>
        </w:rPr>
        <w:t xml:space="preserve">Divide et impera</w:t>
      </w:r>
      <w:r>
        <w:t xml:space="preserve"> </w:t>
      </w:r>
      <w:r>
        <w:t xml:space="preserve">sets them against each other in order to rule both.</w:t>
      </w:r>
      <w:r>
        <w:rPr>
          <w:rStyle w:val="FootnoteReference"/>
        </w:rPr>
        <w:footnoteReference w:id="2"/>
      </w:r>
      <w:r>
        <w:t xml:space="preserve"> </w:t>
      </w:r>
      <w:r>
        <w:t xml:space="preserve">On the opening page of the same chapter he names a different figure: people drawn together</w:t>
      </w:r>
      <w:r>
        <w:t xml:space="preserve"> </w:t>
      </w:r>
      <w:r>
        <w:t xml:space="preserve">“by their common relation to a phenomenon which lies outside of them,”</w:t>
      </w:r>
      <w:r>
        <w:t xml:space="preserve"> </w:t>
      </w:r>
      <w:r>
        <w:t xml:space="preserve">for example an alliance against a common enemy or the invisible church. He does not analyze it. He says the group-forming mediation of a third element</w:t>
      </w:r>
      <w:r>
        <w:t xml:space="preserve"> </w:t>
      </w:r>
      <w:r>
        <w:t xml:space="preserve">“ist indes in späterem Zusammenhang zu behandeln,”</w:t>
      </w:r>
      <w:r>
        <w:t xml:space="preserve"> </w:t>
      </w:r>
      <w:r>
        <w:t xml:space="preserve">is to be treated in a later context.</w:t>
      </w:r>
      <w:r>
        <w:rPr>
          <w:rStyle w:val="FootnoteReference"/>
        </w:rPr>
        <w:footnoteReference w:id="3"/>
      </w:r>
      <w:r>
        <w:t xml:space="preserve"> </w:t>
      </w:r>
      <w:r>
        <w:t xml:space="preserve">That undeveloped figure is the deferred third: no known pair, no broker. It is the only Simmelian third that matches a cut between strangers who never meet.</w:t>
      </w:r>
    </w:p>
    <w:p>
      <w:pPr>
        <w:pStyle w:val="BodyText"/>
      </w:pPr>
      <w:r>
        <w:rPr>
          <w:i/>
          <w:iCs/>
        </w:rPr>
        <w:t xml:space="preserve">Slacker</w:t>
      </w:r>
      <w:r>
        <w:t xml:space="preserve"> </w:t>
      </w:r>
      <w:r>
        <w:t xml:space="preserve">runs on it. A man off an overnight bus tells a taxi driver about lives he did not choose; the driver does not answer. One cut later, a woman lies in the street, struck, and strangers manage the emergency out loud: calling an ambulance, reaching her son, pressing a card on a witness:</w:t>
      </w:r>
      <w:r>
        <w:t xml:space="preserve"> </w:t>
      </w:r>
      <w:r>
        <w:t xml:space="preserve">“Take my card. Give me a call. … I’d like to hear from you. I mean it.”</w:t>
      </w:r>
      <w:r>
        <w:rPr>
          <w:rStyle w:val="FootnoteReference"/>
        </w:rPr>
        <w:footnoteReference w:id="4"/>
      </w:r>
      <w:r>
        <w:t xml:space="preserve"> </w:t>
      </w:r>
      <w:r>
        <w:t xml:space="preserve">The offer leads nowhere. He leaves before the police arrive. A bystander says what no one else has said:</w:t>
      </w:r>
      <w:r>
        <w:t xml:space="preserve"> </w:t>
      </w:r>
      <w:r>
        <w:t xml:space="preserve">“Looks like some guy, uh, ran over his mother.”</w:t>
      </w:r>
      <w:r>
        <w:t xml:space="preserve"> </w:t>
      </w:r>
      <w:r>
        <w:t xml:space="preserve">Nothing audible connects the taxi to the accident. The two scenes share a day, a city, and a camera. No character brokers them: a broker knows both parties, and neither a sidewalk nor a cut does.</w:t>
      </w:r>
    </w:p>
    <w:p>
      <w:pPr>
        <w:pStyle w:val="BodyText"/>
      </w:pPr>
      <w:r>
        <w:t xml:space="preserve">Two functions have to stay distinct or the platform claim collapses. Reach is the environment that holds people where they can summon one another without naming which two will meet: the sidewalk, the city, later the app’s pool of users. Selection is the choice of who comes next for a viewer or a user: the cut, later the feed. The cut selects for a viewer who is party to nothing; the feed selects for the parties themselves. What platforms inherited is the function, not the addressee. The film has both. Reach without brokerage, plus impersonal selection: that is already the platform shape, eighty years after Simmel set the figure aside and thirty years before an app fused the two functions.</w:t>
      </w:r>
    </w:p>
    <w:bookmarkEnd w:id="15"/>
    <w:bookmarkStart w:id="22" w:name="membership-without-meeting-1913"/>
    <w:p>
      <w:pPr>
        <w:pStyle w:val="Heading2"/>
      </w:pPr>
      <w:r>
        <w:t xml:space="preserve">3. Membership without meeting (1913)</w:t>
      </w:r>
    </w:p>
    <w:p>
      <w:pPr>
        <w:pStyle w:val="FirstParagraph"/>
      </w:pPr>
      <w:r>
        <w:t xml:space="preserve">Simmel’s deferred third joins people without a broker. It does not say what belonging looks like when they never meet. Without that account, a hundred strangers in one day are only a crowd. Royce supplies the missing account. He asked what makes a community and not a crowd. Members need not meet. A community of memory exists when each member</w:t>
      </w:r>
      <w:r>
        <w:t xml:space="preserve"> </w:t>
      </w:r>
      <w:r>
        <w:t xml:space="preserve">“accepts as part of his own individual life and self the same past events that each of his fellow-members accepts.”</w:t>
      </w:r>
      <w:r>
        <w:t xml:space="preserve"> </w:t>
      </w:r>
      <w:r>
        <w:t xml:space="preserve">A community of expectation uses the same relation to shared future events.</w:t>
      </w:r>
      <w:r>
        <w:rPr>
          <w:rStyle w:val="FootnoteReference"/>
        </w:rPr>
        <w:footnoteReference w:id="5"/>
      </w:r>
      <w:r>
        <w:t xml:space="preserve"> </w:t>
      </w:r>
      <w:r>
        <w:t xml:space="preserve">Two Maori who each say they came over in the canoe Tai-Nui form a community on that past even if, as Royce adds,</w:t>
      </w:r>
      <w:r>
        <w:t xml:space="preserve"> </w:t>
      </w:r>
      <w:r>
        <w:t xml:space="preserve">“Each may keep aloof from the other. They may be enemies.”</w:t>
      </w:r>
      <w:r>
        <w:rPr>
          <w:rStyle w:val="FootnoteReference"/>
        </w:rPr>
        <w:footnoteReference w:id="6"/>
      </w:r>
      <w:r>
        <w:t xml:space="preserve"> </w:t>
      </w:r>
      <w:r>
        <w:t xml:space="preserve">Shared relation to an outside past or future is enough, so with Royce the film’s strangers are members before any platform keeps their record.</w:t>
      </w:r>
    </w:p>
    <w:p>
      <w:pPr>
        <w:pStyle w:val="BodyText"/>
      </w:pPr>
      <w:r>
        <w:t xml:space="preserve">Membership still leaves the camera undertheorized: why should a cut count as coordination and not as editing? Royce held that interpretation takes three terms.</w:t>
      </w:r>
      <w:r>
        <w:t xml:space="preserve"> </w:t>
      </w:r>
      <w:r>
        <w:t xml:space="preserve">“Interpretation always involves a relation of three terms,”</w:t>
      </w:r>
      <w:r>
        <w:t xml:space="preserve"> </w:t>
      </w:r>
      <w:r>
        <w:t xml:space="preserve">he wrote.</w:t>
      </w:r>
      <w:r>
        <w:t xml:space="preserve"> </w:t>
      </w:r>
      <w:r>
        <w:t xml:space="preserve">“In the technical phrase, interpretation is a triadic relation.”</w:t>
      </w:r>
      <w:r>
        <w:rPr>
          <w:rStyle w:val="FootnoteReference"/>
        </w:rPr>
        <w:footnoteReference w:id="7"/>
      </w:r>
      <w:r>
        <w:t xml:space="preserve"> </w:t>
      </w:r>
      <w:r>
        <w:t xml:space="preserve">Two dyads in a row are not a triad.</w:t>
      </w:r>
      <w:r>
        <w:rPr>
          <w:rStyle w:val="FootnoteReference"/>
        </w:rPr>
        <w:footnoteReference w:id="8"/>
      </w:r>
      <w:r>
        <w:t xml:space="preserve"> </w:t>
      </w:r>
      <w:r>
        <w:t xml:space="preserve">A camera that sequences strangers for a viewer occupies the interpreter’s place. Royce required communication among living members beyond a shared past,</w:t>
      </w:r>
      <w:r>
        <w:rPr>
          <w:rStyle w:val="FootnoteReference"/>
        </w:rPr>
        <w:footnoteReference w:id="9"/>
      </w:r>
      <w:r>
        <w:t xml:space="preserve"> </w:t>
      </w:r>
      <w:r>
        <w:t xml:space="preserve">and for him all three terms are selves.</w:t>
      </w:r>
      <w:r>
        <w:rPr>
          <w:rStyle w:val="FootnoteReference"/>
        </w:rPr>
        <w:footnoteReference w:id="10"/>
      </w:r>
      <w:r>
        <w:t xml:space="preserve"> </w:t>
      </w:r>
      <w:r>
        <w:t xml:space="preserve">Reading a camera as interpreter goes beyond him; that move is mine. He gives membership without meeting and does not give a machine interpreter, so the film needs the extension in which the cut does work he reserved for minds.</w:t>
      </w:r>
    </w:p>
    <w:p>
      <w:pPr>
        <w:pStyle w:val="BodyText"/>
      </w:pPr>
      <w:r>
        <w:t xml:space="preserve">The film shows a Roycean join the characters do not arrange. In a café a man dictates aphorisms, casting himself as Dostoyevsky and his companion as Anna at work on</w:t>
      </w:r>
      <w:r>
        <w:t xml:space="preserve"> </w:t>
      </w:r>
      <w:r>
        <w:rPr>
          <w:i/>
          <w:iCs/>
        </w:rPr>
        <w:t xml:space="preserve">The Gambler</w:t>
      </w:r>
      <w:r>
        <w:t xml:space="preserve">. A passerby asks:</w:t>
      </w:r>
      <w:r>
        <w:t xml:space="preserve"> </w:t>
      </w:r>
      <w:r>
        <w:t xml:space="preserve">“You seen Gary around?”</w:t>
      </w:r>
      <w:r>
        <w:t xml:space="preserve"> </w:t>
      </w:r>
      <w:r>
        <w:t xml:space="preserve">Nobody has seen Gary for months. The passerby leaves. Somewhere else, another man says he overheard that a friend is missing: one stranger asked, and a different stranger answered. The shared past of Gary missing joins two people who never negotiated a handoff, a join Roycean in form though not yet in depth: neither man has taken Gary’s absence into his own life as Royce’s condition demands. The man who answered then holds his listener through a suppressed moon program and a rain-forest drug that leaves</w:t>
      </w:r>
      <w:r>
        <w:t xml:space="preserve"> </w:t>
      </w:r>
      <w:r>
        <w:t xml:space="preserve">“perfect employees,”</w:t>
      </w:r>
      <w:r>
        <w:t xml:space="preserve"> </w:t>
      </w:r>
      <w:r>
        <w:t xml:space="preserve">and does not pass him on. Later he stops a second man (</w:t>
      </w:r>
      <w:r>
        <w:t xml:space="preserve">“Just a little security check. There’ve been some people missing”</w:t>
      </w:r>
      <w:r>
        <w:t xml:space="preserve">) and lets him go:</w:t>
      </w:r>
      <w:r>
        <w:t xml:space="preserve"> </w:t>
      </w:r>
      <w:r>
        <w:t xml:space="preserve">“You’re in a hurry. That makes perfect sense.”</w:t>
      </w:r>
      <w:r>
        <w:t xml:space="preserve"> </w:t>
      </w:r>
      <w:r>
        <w:t xml:space="preserve">The street made both openings possible and did not choose who would meet whom: reach without selection.</w:t>
      </w:r>
    </w:p>
    <w:bookmarkEnd w:id="22"/>
    <w:bookmarkStart w:id="28" w:name="grants-and-powers-1964"/>
    <w:p>
      <w:pPr>
        <w:pStyle w:val="Heading2"/>
      </w:pPr>
      <w:r>
        <w:t xml:space="preserve">4. Grants and powers (1964)</w:t>
      </w:r>
    </w:p>
    <w:p>
      <w:pPr>
        <w:pStyle w:val="FirstParagraph"/>
      </w:pPr>
      <w:r>
        <w:t xml:space="preserve">Simmel and Royce give structure and membership. They do not give what a deferred third can do to people who depend on it. Without those powers, the door scenes are local color and today’s licensing pages have no ancestor in the film. When Steve hits the guest list he is priced, evaluated, refused, and left with no ground of argument. Those are the powers: price an exchange, evaluate a party, remove a party, withhold the reason. This four-part reading is mine, taken from the door. Reich named the legal form of the dependence behind it: access held as a grant and not as property, twenty-six years before the film.</w:t>
      </w:r>
      <w:r>
        <w:rPr>
          <w:rStyle w:val="FootnoteReference"/>
        </w:rPr>
        <w:footnoteReference w:id="11"/>
      </w:r>
    </w:p>
    <w:p>
      <w:pPr>
        <w:pStyle w:val="BodyText"/>
      </w:pPr>
      <w:r>
        <w:t xml:space="preserve">“What’s up, dude? I’m on the guest list.”</w:t>
      </w:r>
      <w:r>
        <w:t xml:space="preserve"> </w:t>
      </w:r>
      <w:r>
        <w:t xml:space="preserve">The doorman answers with a price:</w:t>
      </w:r>
      <w:r>
        <w:t xml:space="preserve"> </w:t>
      </w:r>
      <w:r>
        <w:t xml:space="preserve">“Three dollars.”</w:t>
      </w:r>
      <w:r>
        <w:t xml:space="preserve"> </w:t>
      </w:r>
      <w:r>
        <w:t xml:space="preserve">Steve spells his name,</w:t>
      </w:r>
      <w:r>
        <w:t xml:space="preserve"> </w:t>
      </w:r>
      <w:r>
        <w:t xml:space="preserve">“S-T-E-V-E. Steve plus three or four,”</w:t>
      </w:r>
      <w:r>
        <w:t xml:space="preserve"> </w:t>
      </w:r>
      <w:r>
        <w:t xml:space="preserve">and the doorman refuses him:</w:t>
      </w:r>
      <w:r>
        <w:t xml:space="preserve"> </w:t>
      </w:r>
      <w:r>
        <w:t xml:space="preserve">“Sorry, Steve. Don’t see you.”</w:t>
      </w:r>
      <w:r>
        <w:t xml:space="preserve"> </w:t>
      </w:r>
      <w:r>
        <w:t xml:space="preserve">He argues that the band on stage is his roommate’s. The door does not change. Without a reason he cannot contest price, evaluation, or removal, and the fourth power locks the other three.</w:t>
      </w:r>
    </w:p>
    <w:p>
      <w:pPr>
        <w:pStyle w:val="BodyText"/>
      </w:pPr>
      <w:r>
        <w:t xml:space="preserve">The door prices; a cover is named at five dollars. It evaluates by checking a name against a list and refusing it. It removes at 2:00 a.m.:</w:t>
      </w:r>
      <w:r>
        <w:t xml:space="preserve"> </w:t>
      </w:r>
      <w:r>
        <w:t xml:space="preserve">“It’s past 2:00. Everybody out. … You gotta be somewhere. You can’t be here. And I wanna go home.”</w:t>
      </w:r>
      <w:r>
        <w:t xml:space="preserve"> </w:t>
      </w:r>
      <w:r>
        <w:t xml:space="preserve">It never chooses which two people will meet. Powers attach to a deferred third without making it a broker, and later platforms will do the same when they control access without arranging every meeting.</w:t>
      </w:r>
    </w:p>
    <w:p>
      <w:pPr>
        <w:pStyle w:val="BodyText"/>
      </w:pPr>
      <w:r>
        <w:t xml:space="preserve">Reich also named the shift in how access itself is held, and that shift is what makes the guest list and the stamp two regimes, not two scrapes of local color. Valuables had moved from ownership into grants; the holder faces a counterparty that writes the terms, changes them, decides disputes in its own forum, and owes no procedure.</w:t>
      </w:r>
      <w:r>
        <w:rPr>
          <w:rStyle w:val="FootnoteReference"/>
        </w:rPr>
        <w:footnoteReference w:id="11"/>
      </w:r>
      <w:r>
        <w:t xml:space="preserve"> </w:t>
      </w:r>
      <w:r>
        <w:t xml:space="preserve">Courts moved first where livelihood was at stake, on interests</w:t>
      </w:r>
      <w:r>
        <w:t xml:space="preserve"> </w:t>
      </w:r>
      <w:r>
        <w:t xml:space="preserve">“intimately bound up with the individual’s freedom to earn a living.”</w:t>
      </w:r>
      <w:r>
        <w:rPr>
          <w:rStyle w:val="FootnoteReference"/>
        </w:rPr>
        <w:footnoteReference w:id="12"/>
      </w:r>
      <w:r>
        <w:t xml:space="preserve"> </w:t>
      </w:r>
      <w:r>
        <w:t xml:space="preserve">Reich wrote that</w:t>
      </w:r>
      <w:r>
        <w:t xml:space="preserve"> </w:t>
      </w:r>
      <w:r>
        <w:t xml:space="preserve">“the denial of any form of privilege or benefit on the basis of undisclosed reasons should no longer be tolerated.”</w:t>
      </w:r>
      <w:r>
        <w:rPr>
          <w:rStyle w:val="FootnoteReference"/>
        </w:rPr>
        <w:footnoteReference w:id="13"/>
      </w:r>
      <w:r>
        <w:t xml:space="preserve"> </w:t>
      </w:r>
      <w:r>
        <w:t xml:space="preserve">That sentence is the fourth power stated as a legal demand. The film shows both regimes on one night. The guest list is a grant: the grantor keeps the record and can deny without a stated ground.</w:t>
      </w:r>
      <w:r>
        <w:t xml:space="preserve"> </w:t>
      </w:r>
      <w:r>
        <w:t xml:space="preserve">“I made him put me on the guest list, and I’m on the guest list,”</w:t>
      </w:r>
      <w:r>
        <w:t xml:space="preserve"> </w:t>
      </w:r>
      <w:r>
        <w:t xml:space="preserve">says a woman who is not on it. The stamp is property. Outside another door a man offers:</w:t>
      </w:r>
      <w:r>
        <w:t xml:space="preserve"> </w:t>
      </w:r>
      <w:r>
        <w:t xml:space="preserve">“But, uh, I got a stamp. I think I can, you know, get you in or something.”</w:t>
      </w:r>
      <w:r>
        <w:t xml:space="preserve"> </w:t>
      </w:r>
      <w:r>
        <w:t xml:space="preserve">He shows the transfer:</w:t>
      </w:r>
      <w:r>
        <w:t xml:space="preserve"> </w:t>
      </w:r>
      <w:r>
        <w:t xml:space="preserve">“Here, watch. It’s easy. Watch. You just do this,”</w:t>
      </w:r>
      <w:r>
        <w:t xml:space="preserve"> </w:t>
      </w:r>
      <w:r>
        <w:t xml:space="preserve">whatever</w:t>
      </w:r>
      <w:r>
        <w:t xml:space="preserve"> </w:t>
      </w:r>
      <w:r>
        <w:rPr>
          <w:i/>
          <w:iCs/>
        </w:rPr>
        <w:t xml:space="preserve">this</w:t>
      </w:r>
      <w:r>
        <w:t xml:space="preserve"> </w:t>
      </w:r>
      <w:r>
        <w:t xml:space="preserve">is [DISC:S5]. At the next door the same group uses it against another five-dollar cover. A stamp can be shown and copied. A grant cannot. Platform life inherits the grant. The stamp is speakable access. Platforms kept the grant and dropped the demonstration. Reich wrote about government. I apply the structure to private doors because that is where the film and later platforms put it.</w:t>
      </w:r>
      <w:r>
        <w:rPr>
          <w:rStyle w:val="FootnoteReference"/>
        </w:rPr>
        <w:footnoteReference w:id="14"/>
      </w:r>
    </w:p>
    <w:p>
      <w:pPr>
        <w:pStyle w:val="BodyText"/>
      </w:pPr>
      <w:r>
        <w:t xml:space="preserve">By 1964 structure, membership, and grant-access were on the page. The coordinating verb was not. The single apparatus that would gather all four powers and remove the face you argue with was not.</w:t>
      </w:r>
      <w:r>
        <w:t xml:space="preserve"> </w:t>
      </w:r>
      <w:r>
        <w:rPr>
          <w:i/>
          <w:iCs/>
        </w:rPr>
        <w:t xml:space="preserve">Slacker</w:t>
      </w:r>
      <w:r>
        <w:t xml:space="preserve"> </w:t>
      </w:r>
      <w:r>
        <w:t xml:space="preserve">was made in that gap.</w:t>
      </w:r>
    </w:p>
    <w:bookmarkEnd w:id="28"/>
    <w:bookmarkStart w:id="38" w:name="the-interval-a-city-and-a-camera-1990"/>
    <w:p>
      <w:pPr>
        <w:pStyle w:val="Heading2"/>
      </w:pPr>
      <w:r>
        <w:t xml:space="preserve">5. The interval: a city and a camera (1990)</w:t>
      </w:r>
    </w:p>
    <w:p>
      <w:pPr>
        <w:pStyle w:val="FirstParagraph"/>
      </w:pPr>
      <w:r>
        <w:t xml:space="preserve">Structure, membership, and powers stay abstract until they have a material host. A platform holds people in reach and brokers none of their meetings, so the film can show that form only where strangers are thick on the ground and where work does not already bind them into a firm. If Austin had been a workplace of continuous employment, the soundtrack would be hierarchy and payroll. If it had been a tight housing market, the day would read as bargaining over scarce shelter. The film needs both conditions, reach without employment, or it is the wrong evidence for the interval between Reich and Stark.</w:t>
      </w:r>
    </w:p>
    <w:p>
      <w:pPr>
        <w:pStyle w:val="BodyText"/>
      </w:pPr>
      <w:r>
        <w:t xml:space="preserve">In 1990 Austin had both. I recorded a prediction before the work census: only people staffing coordinating posts would be working: the taxi, the café counter, the door. The count kept the coordinating half and broke the exclusive half. Both coders found paid work in ten of thirty-five segments, including children selling Cokes, a man selling shirts and magazines, a newspaper vendor, a store security supervisor, and two officers at the accident.</w:t>
      </w:r>
      <w:r>
        <w:rPr>
          <w:rStyle w:val="FootnoteReference"/>
        </w:rPr>
        <w:footnoteReference w:id="15"/>
      </w:r>
      <w:r>
        <w:t xml:space="preserve"> </w:t>
      </w:r>
      <w:r>
        <w:t xml:space="preserve">Every audible coordinating post was staffed. The stronger finding was unexpected: across all thirty-five segments, nobody seeks, applies for, or arranges paid work. The only job search is a postcard about a housemate already gone:</w:t>
      </w:r>
      <w:r>
        <w:t xml:space="preserve"> </w:t>
      </w:r>
      <w:r>
        <w:t xml:space="preserve">“So now he’s looking for a job that doesn’t involve much work.”</w:t>
      </w:r>
      <w:r>
        <w:t xml:space="preserve"> </w:t>
      </w:r>
      <w:r>
        <w:t xml:space="preserve">The city coordinates encounter and does not employ the people it holds: a contact surface without payroll.</w:t>
      </w:r>
    </w:p>
    <w:p>
      <w:pPr>
        <w:pStyle w:val="BodyText"/>
      </w:pPr>
      <w:r>
        <w:t xml:space="preserve">Across the 1980s housing grew faster than population, 48.0 percent against 34.6.</w:t>
      </w:r>
      <w:r>
        <w:rPr>
          <w:rStyle w:val="FootnoteReference"/>
        </w:rPr>
        <w:footnoteReference w:id="16"/>
      </w:r>
      <w:r>
        <w:t xml:space="preserve"> </w:t>
      </w:r>
      <w:r>
        <w:t xml:space="preserve">In December 1989 Austin issued no multifamily permits, against 632 in Houston and 260 in Dallas.</w:t>
      </w:r>
      <w:r>
        <w:rPr>
          <w:rStyle w:val="FootnoteReference"/>
        </w:rPr>
        <w:footnoteReference w:id="17"/>
      </w:r>
      <w:r>
        <w:t xml:space="preserve"> </w:t>
      </w:r>
      <w:r>
        <w:t xml:space="preserve">Vacancy was 11.6 percent with 50,245 university students that autumn.</w:t>
      </w:r>
      <w:r>
        <w:rPr>
          <w:rStyle w:val="FootnoteReference"/>
        </w:rPr>
        <w:footnoteReference w:id="18"/>
      </w:r>
      <w:r>
        <w:t xml:space="preserve"> </w:t>
      </w:r>
      <w:r>
        <w:t xml:space="preserve">Median contract rent was $346, above Houston and San Antonio,</w:t>
      </w:r>
      <w:r>
        <w:rPr>
          <w:rStyle w:val="FootnoteReference"/>
        </w:rPr>
        <w:footnoteReference w:id="19"/>
      </w:r>
      <w:r>
        <w:t xml:space="preserve"> </w:t>
      </w:r>
      <w:r>
        <w:t xml:space="preserve">so low rent is not the point. Slack is. Slack made a $23,000 shoot possible,</w:t>
      </w:r>
      <w:r>
        <w:rPr>
          <w:rStyle w:val="FootnoteReference"/>
        </w:rPr>
        <w:footnoteReference w:id="20"/>
      </w:r>
      <w:r>
        <w:t xml:space="preserve"> </w:t>
      </w:r>
      <w:r>
        <w:t xml:space="preserve">and slack lets a deferred third run on sidewalks and cuts instead of on payroll. Erickson and Long read the film as identity and place-myth.</w:t>
      </w:r>
      <w:r>
        <w:rPr>
          <w:rStyle w:val="FootnoteReference"/>
        </w:rPr>
        <w:footnoteReference w:id="21"/>
      </w:r>
      <w:r>
        <w:t xml:space="preserve"> </w:t>
      </w:r>
      <w:r>
        <w:t xml:space="preserve">If people take that filmed past as their own, they meet Royce’s community of memory, and the myth is membership, not the sidewalk and the cut.</w:t>
      </w:r>
    </w:p>
    <w:p>
      <w:pPr>
        <w:pStyle w:val="BodyText"/>
      </w:pPr>
      <w:r>
        <w:t xml:space="preserve">Digital platforms later fuse reach and selection in one apparatus. The film keeps them apart, which is how it teaches the shape of platform sequencing before one machine fused them. Early on, the cut does most of the joining: a question about a missing friend; a report that housemate Paul has vanished, closed with</w:t>
      </w:r>
      <w:r>
        <w:t xml:space="preserve"> </w:t>
      </w:r>
      <w:r>
        <w:t xml:space="preserve">“Why don’t you come look? It’s really weird.”</w:t>
      </w:r>
      <w:r>
        <w:t xml:space="preserve"> </w:t>
      </w:r>
      <w:r>
        <w:t xml:space="preserve">In the middle, characters take over with things they can hand over and say aloud: lifts, addresses, a van, a stamp, a camera. By dawn the cut resumes, over a recorded voice and a hail into an empty street.</w:t>
      </w:r>
    </w:p>
    <w:p>
      <w:pPr>
        <w:pStyle w:val="BodyText"/>
      </w:pPr>
      <w:r>
        <w:t xml:space="preserve">For each of the thirty-four transitions, two coders asked whether anything audible crosses the seam, and whether an act aimed at another person produces the next encounter (82 percent and 91 percent agreement; κ = 0.75 and 0.84).</w:t>
      </w:r>
      <w:r>
        <w:rPr>
          <w:rStyle w:val="FootnoteReference"/>
        </w:rPr>
        <w:footnoteReference w:id="22"/>
      </w:r>
      <w:r>
        <w:t xml:space="preserve"> </w:t>
      </w:r>
      <w:r>
        <w:t xml:space="preserve">Fifteen or sixteen transitions carry an audible link; four or five are equivocal.</w:t>
      </w:r>
      <w:r>
        <w:rPr>
          <w:rStyle w:val="FootnoteReference"/>
        </w:rPr>
        <w:footnoteReference w:id="23"/>
      </w:r>
      <w:r>
        <w:t xml:space="preserve"> </w:t>
      </w:r>
      <w:r>
        <w:t xml:space="preserve">Of the first fifteen, four or five have a link; of the middle fifteen, eleven do; of the last four, the transcript shows none. Six transitions are deliberate in both codings, and five of those six fall in the middle third. Spoken handoffs:</w:t>
      </w:r>
      <w:r>
        <w:t xml:space="preserve"> </w:t>
      </w:r>
      <w:r>
        <w:t xml:space="preserve">“How about a lift back into town?”</w:t>
      </w:r>
      <w:r>
        <w:t xml:space="preserve"> </w:t>
      </w:r>
      <w:r>
        <w:t xml:space="preserve">“The address, man. Take me there.”</w:t>
      </w:r>
      <w:r>
        <w:t xml:space="preserve"> </w:t>
      </w:r>
      <w:r>
        <w:t xml:space="preserve">“Do I have a car? I have a van.”</w:t>
      </w:r>
      <w:r>
        <w:t xml:space="preserve"> </w:t>
      </w:r>
      <w:r>
        <w:t xml:space="preserve">At the party:</w:t>
      </w:r>
      <w:r>
        <w:t xml:space="preserve"> </w:t>
      </w:r>
      <w:r>
        <w:t xml:space="preserve">“Shoot whatever you want. Pass it around … But I want my camera back, all right?”</w:t>
      </w:r>
      <w:r>
        <w:t xml:space="preserve"> </w:t>
      </w:r>
      <w:r>
        <w:t xml:space="preserve">When the cut joins scenes, there is nothing to hand over and no one to address. Selection continues while speakability drops, closer to a feed: reach holds from first frame to last, and who does the joining changes.</w:t>
      </w:r>
    </w:p>
    <w:bookmarkEnd w:id="38"/>
    <w:bookmarkStart w:id="47" w:name="the-verb-arrives-2020"/>
    <w:p>
      <w:pPr>
        <w:pStyle w:val="Heading2"/>
      </w:pPr>
      <w:r>
        <w:t xml:space="preserve">6. The verb arrives (2020)</w:t>
      </w:r>
    </w:p>
    <w:p>
      <w:pPr>
        <w:pStyle w:val="FirstParagraph"/>
      </w:pPr>
      <w:r>
        <w:t xml:space="preserve">Simmel, Royce, and Reich still leave a classification problem. If platform coordination is only market, hierarchy, or network, then Steve at the door is a customer, an employee, or a collaborator, and none of those labels fits. Markets contract. Hierarchies command. Networks collaborate. Stark and Pais give a fourth verb: co-opt. Owners enroll providers and users in algorithmic management without delegating managerial authority.</w:t>
      </w:r>
      <w:r>
        <w:rPr>
          <w:rStyle w:val="FootnoteReference"/>
        </w:rPr>
        <w:footnoteReference w:id="1"/>
      </w:r>
      <w:r>
        <w:t xml:space="preserve"> </w:t>
      </w:r>
      <w:r>
        <w:t xml:space="preserve">That classification was missing in 1990, though the enrollment was not.</w:t>
      </w:r>
    </w:p>
    <w:p>
      <w:pPr>
        <w:pStyle w:val="BodyText"/>
      </w:pPr>
      <w:r>
        <w:t xml:space="preserve">At the party a PixelVision camera passes hand to hand. People join someone else’s project. They are not hired. Terms are still spoken, and the man who wants the camera back can enforce them. A licensing page keeps the enrollment and drops the person you can argue with. Amazon’s Prime Video page says removed titles</w:t>
      </w:r>
      <w:r>
        <w:t xml:space="preserve"> </w:t>
      </w:r>
      <w:r>
        <w:t xml:space="preserve">“may not be resubmitted or appealed,”</w:t>
      </w:r>
      <w:r>
        <w:t xml:space="preserve"> </w:t>
      </w:r>
      <w:r>
        <w:t xml:space="preserve">that selection is at Prime Video’s sole discretion, and that the company</w:t>
      </w:r>
      <w:r>
        <w:t xml:space="preserve"> </w:t>
      </w:r>
      <w:r>
        <w:t xml:space="preserve">“cannot provide additional details about why any specific title was or was not selected.”</w:t>
      </w:r>
      <w:r>
        <w:rPr>
          <w:rStyle w:val="FootnoteReference"/>
        </w:rPr>
        <w:footnoteReference w:id="24"/>
      </w:r>
      <w:r>
        <w:t xml:space="preserve"> </w:t>
      </w:r>
      <w:r>
        <w:t xml:space="preserve">The verdict arrives; the reasons do not. Prime Video judges live titles on engagement metrics and can remove weak performers. Rideshare Drivers United and the Asian Law Caucus surveyed 810 California drivers: two-thirds reported deactivation; 30 percent of those got no reason.</w:t>
      </w:r>
      <w:r>
        <w:rPr>
          <w:rStyle w:val="FootnoteReference"/>
        </w:rPr>
        <w:footnoteReference w:id="25"/>
      </w:r>
      <w:r>
        <w:t xml:space="preserve"> </w:t>
      </w:r>
      <w:r>
        <w:t xml:space="preserve">Same enrollment as the party, with no face left to answer, and no one at that party could have known the later name.</w:t>
      </w:r>
    </w:p>
    <w:p>
      <w:pPr>
        <w:pStyle w:val="BodyText"/>
      </w:pPr>
      <w:r>
        <w:t xml:space="preserve">The city’s audible work fits the same verb: coordinating posts are staffed, people held in reach are not on payroll, and the powers price, evaluate, and remove enroll nightlife and attention without hiring.</w:t>
      </w:r>
    </w:p>
    <w:p>
      <w:pPr>
        <w:pStyle w:val="BodyText"/>
      </w:pPr>
      <w:r>
        <w:t xml:space="preserve">Two limits keep every electronic third from counting as a platform of the</w:t>
      </w:r>
      <w:r>
        <w:t xml:space="preserve"> </w:t>
      </w:r>
      <w:r>
        <w:rPr>
          <w:i/>
          <w:iCs/>
        </w:rPr>
        <w:t xml:space="preserve">Slacker</w:t>
      </w:r>
      <w:r>
        <w:t xml:space="preserve"> </w:t>
      </w:r>
      <w:r>
        <w:t xml:space="preserve">kind. First, standing between parties is not the power to withhold a reason. In the three years after the film’s release, the interdealer currency market built Reuters Dealing 2000-2 and EBS.</w:t>
      </w:r>
      <w:r>
        <w:rPr>
          <w:rStyle w:val="FootnoteReference"/>
        </w:rPr>
        <w:footnoteReference w:id="26"/>
      </w:r>
      <w:r>
        <w:t xml:space="preserve"> </w:t>
      </w:r>
      <w:r>
        <w:t xml:space="preserve">Those venues are third parties, not counterparties to the trades.</w:t>
      </w:r>
      <w:r>
        <w:rPr>
          <w:rStyle w:val="FootnoteReference"/>
        </w:rPr>
        <w:footnoteReference w:id="27"/>
      </w:r>
      <w:r>
        <w:t xml:space="preserve"> </w:t>
      </w:r>
      <w:r>
        <w:t xml:space="preserve">Liquidity concentrated on one venue per currency pair.</w:t>
      </w:r>
      <w:r>
        <w:rPr>
          <w:rStyle w:val="FootnoteReference"/>
        </w:rPr>
        <w:footnoteReference w:id="28"/>
      </w:r>
      <w:r>
        <w:t xml:space="preserve"> </w:t>
      </w:r>
      <w:r>
        <w:t xml:space="preserve">Dealers also traded directly; the venues do not join people who would otherwise never meet. The same firm can owe written reasons under one rulebook and act in</w:t>
      </w:r>
      <w:r>
        <w:t xml:space="preserve"> </w:t>
      </w:r>
      <w:r>
        <w:t xml:space="preserve">“sole discretion”</w:t>
      </w:r>
      <w:r>
        <w:t xml:space="preserve"> </w:t>
      </w:r>
      <w:r>
        <w:t xml:space="preserve">under another.</w:t>
      </w:r>
      <w:r>
        <w:rPr>
          <w:rStyle w:val="FootnoteReference"/>
        </w:rPr>
        <w:footnoteReference w:id="29"/>
      </w:r>
      <w:r>
        <w:t xml:space="preserve"> </w:t>
      </w:r>
      <w:r>
        <w:t xml:space="preserve">The four powers attach by rule; digital platforms harden the attachments and do not invent the form.</w:t>
      </w:r>
    </w:p>
    <w:p>
      <w:pPr>
        <w:pStyle w:val="BodyText"/>
      </w:pPr>
      <w:r>
        <w:t xml:space="preserve">Second, some thirds sit between parties barred from dealing with each other. Formal models ask whether such a third would still be needed if the ban were lifted.</w:t>
      </w:r>
      <w:r>
        <w:rPr>
          <w:rStyle w:val="FootnoteReference"/>
        </w:rPr>
        <w:footnoteReference w:id="30"/>
      </w:r>
      <w:r>
        <w:t xml:space="preserve"> </w:t>
      </w:r>
      <w:r>
        <w:t xml:space="preserve">The deferred third has no such test, because its neighbors were never banned from meeting and simply never met.</w:t>
      </w:r>
    </w:p>
    <w:bookmarkEnd w:id="47"/>
    <w:bookmarkStart w:id="48" w:name="what-the-interval-still-shows"/>
    <w:p>
      <w:pPr>
        <w:pStyle w:val="Heading2"/>
      </w:pPr>
      <w:r>
        <w:t xml:space="preserve">7. What the interval still shows</w:t>
      </w:r>
    </w:p>
    <w:p>
      <w:pPr>
        <w:pStyle w:val="FirstParagraph"/>
      </w:pPr>
      <w:r>
        <w:t xml:space="preserve">Once the form is named, Royce’s further demand still blocks an easy equation of platform and community: loyalty. A platform can meet his memory conditions and fail that demand, because shared logs are not devotion. On screen, people show little devotion to a calling. One man will take a job</w:t>
      </w:r>
      <w:r>
        <w:t xml:space="preserve"> </w:t>
      </w:r>
      <w:r>
        <w:t xml:space="preserve">“when I hear the true call”</w:t>
      </w:r>
      <w:r>
        <w:t xml:space="preserve"> </w:t>
      </w:r>
      <w:r>
        <w:t xml:space="preserve">and will not say what that is. Royce’s memory community needs selves that extend past the present, communication among contemporaries, and shared past events taken as part of each life. A platform meets all three more securely than a city, because it keeps the record. Loyalty makes a shared past</w:t>
      </w:r>
      <w:r>
        <w:t xml:space="preserve"> </w:t>
      </w:r>
      <w:r>
        <w:rPr>
          <w:i/>
          <w:iCs/>
        </w:rPr>
        <w:t xml:space="preserve">mine</w:t>
      </w:r>
      <w:r>
        <w:t xml:space="preserve">, not only true of me. The film’s people share a day and a city without that claim. Users who share logs and ratings they did not author as a common life meet the same conditions: membership without loyalty.</w:t>
      </w:r>
    </w:p>
    <w:p>
      <w:pPr>
        <w:pStyle w:val="BodyText"/>
      </w:pPr>
      <w:r>
        <w:t xml:space="preserve">Two differences between film and platform show what the record and the automated queue changed. First, custody. The man surrounded by televisions says,</w:t>
      </w:r>
      <w:r>
        <w:t xml:space="preserve"> </w:t>
      </w:r>
      <w:r>
        <w:t xml:space="preserve">“I have no reference to it now. I can’t refer back to it. I can’t press rewind. I can’t put it on pause.”</w:t>
      </w:r>
      <w:r>
        <w:t xml:space="preserve"> </w:t>
      </w:r>
      <w:r>
        <w:t xml:space="preserve">A driver cannot replay an allocation. The platform keeps the past that members once kept themselves. The film names the problem as rewind. Second, indifference. A guest list fails in public:</w:t>
      </w:r>
      <w:r>
        <w:t xml:space="preserve"> </w:t>
      </w:r>
      <w:r>
        <w:t xml:space="preserve">“Fuck. I’m not on the list.”</w:t>
      </w:r>
      <w:r>
        <w:t xml:space="preserve"> </w:t>
      </w:r>
      <w:r>
        <w:t xml:space="preserve">“Figures.”</w:t>
      </w:r>
      <w:r>
        <w:t xml:space="preserve"> </w:t>
      </w:r>
      <w:r>
        <w:t xml:space="preserve">The group renegotiates on the sidewalk. An app assigns a queue spot whether or not the driver assents; he stays rateable either way. Membership without assent. Loyalty shows up outside the platform: Rideshare Drivers United and the Asian Law Caucus organized the survey; 810 drivers answered it, and that organization is loyalty against the third, not through it.</w:t>
      </w:r>
    </w:p>
    <w:p>
      <w:pPr>
        <w:pStyle w:val="BodyText"/>
      </w:pPr>
      <w:r>
        <w:t xml:space="preserve">Today’s platforms put into one system what</w:t>
      </w:r>
      <w:r>
        <w:t xml:space="preserve"> </w:t>
      </w:r>
      <w:r>
        <w:rPr>
          <w:i/>
          <w:iCs/>
        </w:rPr>
        <w:t xml:space="preserve">Slacker</w:t>
      </w:r>
      <w:r>
        <w:t xml:space="preserve"> </w:t>
      </w:r>
      <w:r>
        <w:t xml:space="preserve">still keeps separate and speakable: reach and selection, grants and the four powers, enrollment without a face to answer. A scroll of loosely linked units, sequence decided elsewhere, is what a city and a cut were already doing. Place the film between Reich and Stark and the interval does its work: the form was under construction, the record and the automated queue came later, and the literacy required to live inside it is still catching up.</w:t>
      </w:r>
    </w:p>
    <w:bookmarkEnd w:id="48"/>
    <w:bookmarkStart w:id="50" w:name="algorithmacy"/>
    <w:p>
      <w:pPr>
        <w:pStyle w:val="Heading2"/>
      </w:pPr>
      <w:r>
        <w:t xml:space="preserve">8. Algorithmacy</w:t>
      </w:r>
    </w:p>
    <w:p>
      <w:pPr>
        <w:pStyle w:val="FirstParagraph"/>
      </w:pPr>
      <w:r>
        <w:t xml:space="preserve">Naming the form does not name the skill of living in it. I call that skill algorithmacy: fluency in dealing with an algorithmic third that interprets both sides and issues determinations neither side controls.</w:t>
      </w:r>
      <w:r>
        <w:rPr>
          <w:rStyle w:val="FootnoteReference"/>
        </w:rPr>
        <w:footnoteReference w:id="31"/>
      </w:r>
      <w:r>
        <w:t xml:space="preserve"> </w:t>
      </w:r>
      <w:r>
        <w:t xml:space="preserve">Simmel, Royce, Reich, and Stark and Pais describe the structure, the membership, the grant, and the enrollment. They do not name the competence those arrangements demand once the reasons stop arriving.</w:t>
      </w:r>
    </w:p>
    <w:p>
      <w:pPr>
        <w:pStyle w:val="BodyText"/>
      </w:pPr>
      <w:r>
        <w:t xml:space="preserve">Writing is the analogy: fluency lagged the technology by generations.</w:t>
      </w:r>
      <w:r>
        <w:t xml:space="preserve"> </w:t>
      </w:r>
      <w:r>
        <w:rPr>
          <w:i/>
          <w:iCs/>
        </w:rPr>
        <w:t xml:space="preserve">Slacker</w:t>
      </w:r>
      <w:r>
        <w:t xml:space="preserve"> </w:t>
      </w:r>
      <w:r>
        <w:t xml:space="preserve">is early in that lag for platforms. People on screen still handle thirds they can speak: a cover named aloud, a stamp shown, a list spelled to the person holding it. The camera already works like a feed: next encounter, often with nothing audible crossing the seam. The film knows coordination as something people can argue about at a door. It does not know pricing, evaluation, removal, and withheld reasons gathered into one impersonal apparatus. That split is the lag. Algorithmacy is the fluency the lag demands: living with a third that interprets both sides when the reasons may never come.</w:t>
      </w:r>
    </w:p>
    <w:p>
      <w:pPr>
        <w:pStyle w:val="BodyText"/>
      </w:pPr>
      <w:r>
        <w:t xml:space="preserve">At the last door the rule is spoken: past two o’clock, everybody out, you gotta be somewhere, you can’t be here. The room empties into the street where people keep talking.</w:t>
      </w:r>
    </w:p>
    <w:bookmarkEnd w:id="50"/>
    <w:bookmarkStart w:id="51" w:name="bibliography"/>
    <w:p>
      <w:pPr>
        <w:pStyle w:val="Heading2"/>
      </w:pPr>
      <w:r>
        <w:t xml:space="preserve">Bibliography</w:t>
      </w:r>
    </w:p>
    <w:p>
      <w:pPr>
        <w:pStyle w:val="FirstParagraph"/>
        <w:spacing w:line="480" w:lineRule="auto"/>
        <w:ind w:hanging="720" w:left="720"/>
      </w:pPr>
      <w:r>
        <w:t xml:space="preserve">Amazon.com, Inc. </w:t>
      </w:r>
      <w:r>
        <w:t xml:space="preserve">“Prime Video Direct Content Providers: Licensing Consideration and Title Review.”</w:t>
      </w:r>
      <w:r>
        <w:t xml:space="preserve"> </w:t>
      </w:r>
      <w:r>
        <w:t xml:space="preserve">Prime Video Tech Docs. Last updated August 5, 2025. Accessed August 1, 2026.</w:t>
      </w:r>
    </w:p>
    <w:p>
      <w:pPr>
        <w:pStyle w:val="BodyText"/>
        <w:spacing w:line="480" w:lineRule="auto"/>
        <w:ind w:hanging="720" w:left="720"/>
      </w:pPr>
      <w:r>
        <w:t xml:space="preserve">Bank for International Settlements.</w:t>
      </w:r>
      <w:r>
        <w:t xml:space="preserve"> </w:t>
      </w:r>
      <w:r>
        <w:rPr>
          <w:i/>
          <w:iCs/>
        </w:rPr>
        <w:t xml:space="preserve">Quarterly Review</w:t>
      </w:r>
      <w:r>
        <w:t xml:space="preserve">. Basel: BIS, December 2019.</w:t>
      </w:r>
    </w:p>
    <w:p>
      <w:pPr>
        <w:pStyle w:val="BodyText"/>
        <w:spacing w:line="480" w:lineRule="auto"/>
        <w:ind w:hanging="720" w:left="720"/>
      </w:pPr>
      <w:r>
        <w:t xml:space="preserve">Busch, Andrew M.</w:t>
      </w:r>
      <w:r>
        <w:t xml:space="preserve"> </w:t>
      </w:r>
      <w:r>
        <w:t xml:space="preserve">“Whose</w:t>
      </w:r>
      <w:r>
        <w:t xml:space="preserve"> </w:t>
      </w:r>
      <w:r>
        <w:t xml:space="preserve">‘Sense of Place’</w:t>
      </w:r>
      <w:r>
        <w:t xml:space="preserve">? Topophilia, the Grassroots, and Urbanization in Austin, Texas.”</w:t>
      </w:r>
      <w:r>
        <w:t xml:space="preserve"> </w:t>
      </w:r>
      <w:r>
        <w:rPr>
          <w:i/>
          <w:iCs/>
        </w:rPr>
        <w:t xml:space="preserve">American Quarterly</w:t>
      </w:r>
      <w:r>
        <w:t xml:space="preserve"> </w:t>
      </w:r>
      <w:r>
        <w:t xml:space="preserve">63, no. 2 (2011): 399–408.</w:t>
      </w:r>
    </w:p>
    <w:p>
      <w:pPr>
        <w:pStyle w:val="BodyText"/>
        <w:spacing w:line="480" w:lineRule="auto"/>
        <w:ind w:hanging="720" w:left="720"/>
      </w:pPr>
      <w:r>
        <w:t xml:space="preserve">Erickson, Mary P.</w:t>
      </w:r>
      <w:r>
        <w:t xml:space="preserve"> </w:t>
      </w:r>
      <w:r>
        <w:t xml:space="preserve">“</w:t>
      </w:r>
      <w:r>
        <w:t xml:space="preserve">‘I Think I Still Qualify as a Slacker … Just One That’s Currently Lucky’</w:t>
      </w:r>
      <w:r>
        <w:t xml:space="preserve">: The Myths of</w:t>
      </w:r>
      <w:r>
        <w:t xml:space="preserve"> </w:t>
      </w:r>
      <w:r>
        <w:rPr>
          <w:i/>
          <w:iCs/>
        </w:rPr>
        <w:t xml:space="preserve">Slacker</w:t>
      </w:r>
      <w:r>
        <w:t xml:space="preserve">, Austin, and Richard Linklater.”</w:t>
      </w:r>
      <w:r>
        <w:t xml:space="preserve"> </w:t>
      </w:r>
      <w:r>
        <w:t xml:space="preserve">In</w:t>
      </w:r>
      <w:r>
        <w:t xml:space="preserve"> </w:t>
      </w:r>
      <w:r>
        <w:rPr>
          <w:i/>
          <w:iCs/>
        </w:rPr>
        <w:t xml:space="preserve">ReFocus: The Films of Richard Linklater</w:t>
      </w:r>
      <w:r>
        <w:t xml:space="preserve">, edited by Kim Wilkins and Timotheus Vermeulen, 15–33. Edinburgh: Edinburgh University Press, 2022.</w:t>
      </w:r>
    </w:p>
    <w:p>
      <w:pPr>
        <w:pStyle w:val="BodyText"/>
        <w:spacing w:line="480" w:lineRule="auto"/>
        <w:ind w:hanging="720" w:left="720"/>
      </w:pPr>
      <w:r>
        <w:t xml:space="preserve">Foreign Exchange Committee, Federal Reserve Bank of New York.</w:t>
      </w:r>
      <w:r>
        <w:t xml:space="preserve"> </w:t>
      </w:r>
      <w:r>
        <w:rPr>
          <w:i/>
          <w:iCs/>
        </w:rPr>
        <w:t xml:space="preserve">Annual Report 1991</w:t>
      </w:r>
      <w:r>
        <w:t xml:space="preserve">. New York: Federal Reserve Bank of New York, 1992.</w:t>
      </w:r>
    </w:p>
    <w:p>
      <w:pPr>
        <w:pStyle w:val="BodyText"/>
        <w:spacing w:line="480" w:lineRule="auto"/>
        <w:ind w:hanging="720" w:left="720"/>
      </w:pPr>
      <w:r>
        <w:t xml:space="preserve">Global Foreign Exchange Committee.</w:t>
      </w:r>
      <w:r>
        <w:t xml:space="preserve"> </w:t>
      </w:r>
      <w:r>
        <w:rPr>
          <w:i/>
          <w:iCs/>
        </w:rPr>
        <w:t xml:space="preserve">FX Global Code</w:t>
      </w:r>
      <w:r>
        <w:t xml:space="preserve">. Updated December 2024.</w:t>
      </w:r>
    </w:p>
    <w:p>
      <w:pPr>
        <w:pStyle w:val="BodyText"/>
        <w:spacing w:line="480" w:lineRule="auto"/>
        <w:ind w:hanging="720" w:left="720"/>
      </w:pPr>
      <w:r>
        <w:t xml:space="preserve">Long, Joshua.</w:t>
      </w:r>
      <w:r>
        <w:t xml:space="preserve"> </w:t>
      </w:r>
      <w:r>
        <w:rPr>
          <w:i/>
          <w:iCs/>
        </w:rPr>
        <w:t xml:space="preserve">Weird City: Sense of Place and Creative Resistance in Austin, Texas</w:t>
      </w:r>
      <w:r>
        <w:t xml:space="preserve">. Austin: University of Texas Press, 2010.</w:t>
      </w:r>
    </w:p>
    <w:p>
      <w:pPr>
        <w:pStyle w:val="BodyText"/>
        <w:spacing w:line="480" w:lineRule="auto"/>
        <w:ind w:hanging="720" w:left="720"/>
      </w:pPr>
      <w:r>
        <w:t xml:space="preserve">LSEG.</w:t>
      </w:r>
      <w:r>
        <w:t xml:space="preserve"> </w:t>
      </w:r>
      <w:r>
        <w:rPr>
          <w:i/>
          <w:iCs/>
        </w:rPr>
        <w:t xml:space="preserve">LSEG FX SEF Rulebook</w:t>
      </w:r>
      <w:r>
        <w:t xml:space="preserve">. Version 4.1, effective August 11, 2026.</w:t>
      </w:r>
    </w:p>
    <w:p>
      <w:pPr>
        <w:pStyle w:val="BodyText"/>
        <w:spacing w:line="480" w:lineRule="auto"/>
        <w:ind w:hanging="720" w:left="720"/>
      </w:pPr>
      <w:r>
        <w:t xml:space="preserve">———.</w:t>
      </w:r>
      <w:r>
        <w:t xml:space="preserve"> </w:t>
      </w:r>
      <w:r>
        <w:rPr>
          <w:i/>
          <w:iCs/>
        </w:rPr>
        <w:t xml:space="preserve">LSEG FX UK MTF Rule Book</w:t>
      </w:r>
      <w:r>
        <w:t xml:space="preserve">. Version 1.2, effective December 1, 2025.</w:t>
      </w:r>
    </w:p>
    <w:p>
      <w:pPr>
        <w:pStyle w:val="BodyText"/>
        <w:spacing w:line="480" w:lineRule="auto"/>
        <w:ind w:hanging="720" w:left="720"/>
      </w:pPr>
      <w:r>
        <w:t xml:space="preserve">Reich, Charles A.</w:t>
      </w:r>
      <w:r>
        <w:t xml:space="preserve"> </w:t>
      </w:r>
      <w:r>
        <w:t xml:space="preserve">“The New Property.”</w:t>
      </w:r>
      <w:r>
        <w:t xml:space="preserve"> </w:t>
      </w:r>
      <w:r>
        <w:rPr>
          <w:i/>
          <w:iCs/>
        </w:rPr>
        <w:t xml:space="preserve">The Yale Law Journal</w:t>
      </w:r>
      <w:r>
        <w:t xml:space="preserve"> </w:t>
      </w:r>
      <w:r>
        <w:t xml:space="preserve">73, no. 5 (1964): 733–787.</w:t>
      </w:r>
    </w:p>
    <w:p>
      <w:pPr>
        <w:pStyle w:val="BodyText"/>
        <w:spacing w:line="480" w:lineRule="auto"/>
        <w:ind w:hanging="720" w:left="720"/>
      </w:pPr>
      <w:r>
        <w:t xml:space="preserve">Rideshare Drivers United and Asian Law Caucus.</w:t>
      </w:r>
      <w:r>
        <w:t xml:space="preserve"> </w:t>
      </w:r>
      <w:r>
        <w:rPr>
          <w:i/>
          <w:iCs/>
        </w:rPr>
        <w:t xml:space="preserve">Fired by an App: The Toll of Secret Algorithms and Unchecked Discrimination on California Rideshare Drivers</w:t>
      </w:r>
      <w:r>
        <w:t xml:space="preserve">. February 2023.</w:t>
      </w:r>
    </w:p>
    <w:p>
      <w:pPr>
        <w:pStyle w:val="BodyText"/>
        <w:spacing w:line="480" w:lineRule="auto"/>
        <w:ind w:hanging="720" w:left="720"/>
      </w:pPr>
      <w:r>
        <w:t xml:space="preserve">Royce, Josiah.</w:t>
      </w:r>
      <w:r>
        <w:t xml:space="preserve"> </w:t>
      </w:r>
      <w:r>
        <w:rPr>
          <w:i/>
          <w:iCs/>
        </w:rPr>
        <w:t xml:space="preserve">The Problem of Christianity</w:t>
      </w:r>
      <w:r>
        <w:t xml:space="preserve">. 2 vols. New York: Macmillan, 1913. Reprinted in one volume, Chicago: University of Chicago Press, 1968.</w:t>
      </w:r>
    </w:p>
    <w:p>
      <w:pPr>
        <w:pStyle w:val="BodyText"/>
        <w:spacing w:line="480" w:lineRule="auto"/>
        <w:ind w:hanging="720" w:left="720"/>
      </w:pPr>
      <w:r>
        <w:t xml:space="preserve">Simmel, Georg.</w:t>
      </w:r>
      <w:r>
        <w:t xml:space="preserve"> </w:t>
      </w:r>
      <w:r>
        <w:rPr>
          <w:i/>
          <w:iCs/>
        </w:rPr>
        <w:t xml:space="preserve">The Sociology of Georg Simmel</w:t>
      </w:r>
      <w:r>
        <w:t xml:space="preserve">. Translated and edited by Kurt H. Wolff. Glencoe, IL: The Free Press, 1950. Originally published as</w:t>
      </w:r>
      <w:r>
        <w:t xml:space="preserve"> </w:t>
      </w:r>
      <w:r>
        <w:rPr>
          <w:i/>
          <w:iCs/>
        </w:rPr>
        <w:t xml:space="preserve">Soziologie</w:t>
      </w:r>
      <w:r>
        <w:t xml:space="preserve"> </w:t>
      </w:r>
      <w:r>
        <w:t xml:space="preserve">(Leipzig: Duncker &amp; Humblot, 1908).</w:t>
      </w:r>
    </w:p>
    <w:p>
      <w:pPr>
        <w:pStyle w:val="BodyText"/>
        <w:spacing w:line="480" w:lineRule="auto"/>
        <w:ind w:hanging="720" w:left="720"/>
      </w:pPr>
      <w:r>
        <w:t xml:space="preserve">Stark, David, and Ivana Pais.</w:t>
      </w:r>
      <w:r>
        <w:t xml:space="preserve"> </w:t>
      </w:r>
      <w:r>
        <w:t xml:space="preserve">“Algorithmic Management in the Platform Economy.”</w:t>
      </w:r>
      <w:r>
        <w:t xml:space="preserve"> </w:t>
      </w:r>
      <w:r>
        <w:rPr>
          <w:i/>
          <w:iCs/>
        </w:rPr>
        <w:t xml:space="preserve">Sociologica</w:t>
      </w:r>
      <w:r>
        <w:t xml:space="preserve"> </w:t>
      </w:r>
      <w:r>
        <w:t xml:space="preserve">14, no. 3 (2020): 47–72.</w:t>
      </w:r>
    </w:p>
    <w:p>
      <w:pPr>
        <w:pStyle w:val="BodyText"/>
        <w:spacing w:line="480" w:lineRule="auto"/>
        <w:ind w:hanging="720" w:left="720"/>
      </w:pPr>
      <w:r>
        <w:t xml:space="preserve">U.S. Bureau of the Census.</w:t>
      </w:r>
      <w:r>
        <w:t xml:space="preserve"> </w:t>
      </w:r>
      <w:r>
        <w:rPr>
          <w:i/>
          <w:iCs/>
        </w:rPr>
        <w:t xml:space="preserve">1990 Census of Housing, General Housing Characteristics: Texas</w:t>
      </w:r>
      <w:r>
        <w:t xml:space="preserve">. 1990 CH-1-45. Washington, DC: GPO, 1991.</w:t>
      </w:r>
    </w:p>
    <w:p>
      <w:pPr>
        <w:pStyle w:val="BodyText"/>
        <w:spacing w:line="480" w:lineRule="auto"/>
        <w:ind w:hanging="720" w:left="720"/>
      </w:pPr>
      <w:r>
        <w:t xml:space="preserve">———.</w:t>
      </w:r>
      <w:r>
        <w:t xml:space="preserve"> </w:t>
      </w:r>
      <w:r>
        <w:rPr>
          <w:i/>
          <w:iCs/>
        </w:rPr>
        <w:t xml:space="preserve">1990 Census of Population and Housing, Population and Housing Unit Counts: Texas</w:t>
      </w:r>
      <w:r>
        <w:t xml:space="preserve">. 1990 CPH-2-45. Washington, DC: GPO, 1993.</w:t>
      </w:r>
    </w:p>
    <w:p>
      <w:pPr>
        <w:pStyle w:val="BodyText"/>
        <w:spacing w:line="480" w:lineRule="auto"/>
        <w:ind w:hanging="720" w:left="720"/>
      </w:pPr>
      <w:r>
        <w:t xml:space="preserve">U.S. Department of Education, National Center for Education Statistics. IPEDS Fall Enrollment 1989, file EF1989_A.</w:t>
      </w:r>
    </w:p>
    <w:bookmarkEnd w:id="51"/>
    <w:bookmarkEnd w:id="5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pPr>
      <w:r>
        <w:rPr>
          <w:rStyle w:val="FootnoteReference"/>
        </w:rPr>
        <w:footnoteRef/>
      </w:r>
      <w:r>
        <w:t xml:space="preserve"> </w:t>
      </w:r>
      <w:r>
        <w:t xml:space="preserve">David Stark and Ivana Pais,</w:t>
      </w:r>
      <w:r>
        <w:t xml:space="preserve"> </w:t>
      </w:r>
      <w:r>
        <w:t xml:space="preserve">“Algorithmic Management in the Platform Economy,”</w:t>
      </w:r>
      <w:r>
        <w:t xml:space="preserve"> </w:t>
      </w:r>
      <w:r>
        <w:rPr>
          <w:i/>
          <w:iCs/>
        </w:rPr>
        <w:t xml:space="preserve">Sociologica</w:t>
      </w:r>
      <w:r>
        <w:t xml:space="preserve"> </w:t>
      </w:r>
      <w:r>
        <w:t xml:space="preserve">14, no. 3 (2020): 47–72, at 48 and 49:</w:t>
      </w:r>
      <w:r>
        <w:t xml:space="preserve"> </w:t>
      </w:r>
      <w:r>
        <w:t xml:space="preserve">“whereas for markets the verb is contract, the verb for hierarchy is command, and for networks it is collaborate. By contrast, platforms co-opt,”</w:t>
      </w:r>
      <w:r>
        <w:t xml:space="preserve"> </w:t>
      </w:r>
      <w:r>
        <w:t xml:space="preserve">and</w:t>
      </w:r>
      <w:r>
        <w:t xml:space="preserve"> </w:t>
      </w:r>
      <w:r>
        <w:t xml:space="preserve">“platform owners co-opt the behavior of providers and users, enrolling them in the practices of algorithmic management without managerial authority having been delegated to them.”</w:t>
      </w:r>
    </w:p>
  </w:footnote>
  <w:footnote w:id="2">
    <w:p>
      <w:pPr>
        <w:pStyle w:val="FootnoteText"/>
      </w:pPr>
      <w:r>
        <w:rPr>
          <w:rStyle w:val="FootnoteReference"/>
        </w:rPr>
        <w:footnoteRef/>
      </w:r>
      <w:r>
        <w:t xml:space="preserve"> </w:t>
      </w:r>
      <w:r>
        <w:t xml:space="preserve">Georg Simmel,</w:t>
      </w:r>
      <w:r>
        <w:t xml:space="preserve"> </w:t>
      </w:r>
      <w:r>
        <w:rPr>
          <w:i/>
          <w:iCs/>
        </w:rPr>
        <w:t xml:space="preserve">The Sociology of Georg Simmel</w:t>
      </w:r>
      <w:r>
        <w:t xml:space="preserve">, trans. and ed. Kurt H. Wolff (Glencoe, IL: The Free Press, 1950).</w:t>
      </w:r>
      <w:r>
        <w:t xml:space="preserve"> </w:t>
      </w:r>
      <w:r>
        <w:t xml:space="preserve">“The Triad”</w:t>
      </w:r>
      <w:r>
        <w:t xml:space="preserve"> </w:t>
      </w:r>
      <w:r>
        <w:t xml:space="preserve">is chapter IV, 145–169: the non-partisan and the mediator at 145–47, the</w:t>
      </w:r>
      <w:r>
        <w:t xml:space="preserve"> </w:t>
      </w:r>
      <w:r>
        <w:rPr>
          <w:i/>
          <w:iCs/>
        </w:rPr>
        <w:t xml:space="preserve">tertius gaudens</w:t>
      </w:r>
      <w:r>
        <w:t xml:space="preserve"> </w:t>
      </w:r>
      <w:r>
        <w:t xml:space="preserve">at 154–62,</w:t>
      </w:r>
      <w:r>
        <w:t xml:space="preserve"> </w:t>
      </w:r>
      <w:r>
        <w:rPr>
          <w:i/>
          <w:iCs/>
        </w:rPr>
        <w:t xml:space="preserve">divide et impera</w:t>
      </w:r>
      <w:r>
        <w:t xml:space="preserve"> </w:t>
      </w:r>
      <w:r>
        <w:t xml:space="preserve">at 162, with the prohibition example at 163–64.</w:t>
      </w:r>
    </w:p>
  </w:footnote>
  <w:footnote w:id="3">
    <w:p>
      <w:pPr>
        <w:pStyle w:val="FootnoteText"/>
      </w:pPr>
      <w:r>
        <w:rPr>
          <w:rStyle w:val="FootnoteReference"/>
        </w:rPr>
        <w:footnoteRef/>
      </w:r>
      <w:r>
        <w:t xml:space="preserve"> </w:t>
      </w:r>
      <w:r>
        <w:t xml:space="preserve">Simmel,</w:t>
      </w:r>
      <w:r>
        <w:t xml:space="preserve"> </w:t>
      </w:r>
      <w:r>
        <w:rPr>
          <w:i/>
          <w:iCs/>
        </w:rPr>
        <w:t xml:space="preserve">Sociology</w:t>
      </w:r>
      <w:r>
        <w:t xml:space="preserve">, 145. The English wording is Wolff’s and I have not been able to verify it against a copy of his translation; the passage is confirmed verbatim against the German original,</w:t>
      </w:r>
      <w:r>
        <w:t xml:space="preserve"> </w:t>
      </w:r>
      <w:r>
        <w:rPr>
          <w:i/>
          <w:iCs/>
        </w:rPr>
        <w:t xml:space="preserve">Soziologie</w:t>
      </w:r>
      <w:r>
        <w:t xml:space="preserve"> </w:t>
      </w:r>
      <w:r>
        <w:t xml:space="preserve">(Leipzig: Duncker &amp; Humblot, 1908), chap. 2, p. 103, where the deferral reads</w:t>
      </w:r>
      <w:r>
        <w:t xml:space="preserve"> </w:t>
      </w:r>
      <w:r>
        <w:t xml:space="preserve">“Diese gesellschaftsbildende Vermittlung eines dritten Elementes ist indes in späterem Zusammenhang zu behandeln.”</w:t>
      </w:r>
      <w:r>
        <w:t xml:space="preserve"> </w:t>
      </w:r>
      <w:r>
        <w:rPr>
          <w:i/>
          <w:iCs/>
        </w:rPr>
        <w:t xml:space="preserve">Behandeln</w:t>
      </w:r>
      <w:r>
        <w:t xml:space="preserve"> </w:t>
      </w:r>
      <w:r>
        <w:t xml:space="preserve">is still-to-be-treated, not dismissed. Simmel’s stated reason for setting the case aside is the distance between the third element and the other two, and the absence of properly sociological interactions among all three alike.</w:t>
      </w:r>
    </w:p>
  </w:footnote>
  <w:footnote w:id="4">
    <w:p>
      <w:pPr>
        <w:pStyle w:val="FootnoteText"/>
      </w:pPr>
      <w:r>
        <w:rPr>
          <w:rStyle w:val="FootnoteReference"/>
        </w:rPr>
        <w:footnoteRef/>
      </w:r>
      <w:r>
        <w:t xml:space="preserve"> </w:t>
      </w:r>
      <w:r>
        <w:t xml:space="preserve">Dialogue throughout this chapter is quoted from the film’s subtitle track, via a subtitle-derived transcript carrying dialogue only and no speaker names. Subtitles compress and paraphrase, and no quotation here has yet been confirmed against the Criterion disc; six candidate lines whose wording or placement the project’s records dispute are withheld from quotation entirely. Segment numbers follow my division of the film into thirty-five segments, thirty-four of which carry dialogue.</w:t>
      </w:r>
      <w:r>
        <w:t xml:space="preserve"> </w:t>
      </w:r>
      <w:r>
        <w:rPr>
          <w:i/>
          <w:iCs/>
        </w:rPr>
        <w:t xml:space="preserve">Slacker</w:t>
      </w:r>
      <w:r>
        <w:t xml:space="preserve">, directed by Richard Linklater (Austin, TX: Detour Filmproduction, 1990; distributed by Orion Classics, 1991).</w:t>
      </w:r>
    </w:p>
  </w:footnote>
  <w:footnote w:id="5">
    <w:p>
      <w:pPr>
        <w:pStyle w:val="FootnoteText"/>
      </w:pPr>
      <w:r>
        <w:rPr>
          <w:rStyle w:val="FootnoteReference"/>
        </w:rPr>
        <w:footnoteRef/>
      </w:r>
      <w:r>
        <w:t xml:space="preserve"> </w:t>
      </w:r>
      <w:r>
        <w:t xml:space="preserve">Josiah Royce,</w:t>
      </w:r>
      <w:r>
        <w:t xml:space="preserve"> </w:t>
      </w:r>
      <w:r>
        <w:rPr>
          <w:i/>
          <w:iCs/>
        </w:rPr>
        <w:t xml:space="preserve">The Problem of Christianity</w:t>
      </w:r>
      <w:r>
        <w:t xml:space="preserve"> </w:t>
      </w:r>
      <w:r>
        <w:t xml:space="preserve">(New York: Macmillan, 1913), 2:50 for the community of memory and 2:51 for the community of expectation; in the one-volume reset (Chicago: University of Chicago Press, 1968), 248 for both. Royce’s three constituting conditions are at 2:60–61, 2:67, and 2:68 (1968: 253, 255, 256).</w:t>
      </w:r>
    </w:p>
  </w:footnote>
  <w:footnote w:id="6">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2:46 (1968: 247).</w:t>
      </w:r>
    </w:p>
  </w:footnote>
  <w:footnote w:id="7">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2:140 (1968: 286). The three terms are named at 2:142 (1968: 287): the interpreter, the object interpreted, and the person addressed. Royce credits the thesis to Peirce on the page.</w:t>
      </w:r>
    </w:p>
  </w:footnote>
  <w:footnote w:id="8">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2:124 (1968: 279); the flat statement of the same point is at 2:188 (1968: 306).</w:t>
      </w:r>
    </w:p>
  </w:footnote>
  <w:footnote w:id="9">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2:67 (1968: 255), which requires</w:t>
      </w:r>
      <w:r>
        <w:t xml:space="preserve"> </w:t>
      </w:r>
      <w:r>
        <w:t xml:space="preserve">“distinct selves capable of social communication, and, in general, engaged in communication.”</w:t>
      </w:r>
      <w:r>
        <w:t xml:space="preserve"> </w:t>
      </w:r>
      <w:r>
        <w:t xml:space="preserve">Royce also frames membership as holding among contemporaries (2:44, 2:49); the dead are commemorated and the commemorators are the members.</w:t>
      </w:r>
    </w:p>
  </w:footnote>
  <w:footnote w:id="10">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2:148–49 (1968: 289), and 2:211 (1968: 315), where all three terms of the Community of Interpretation are selves. Royce’s Colorado Canyon passage, which comes closest to an impersonal interpreter, is subjunctive throughout.</w:t>
      </w:r>
    </w:p>
  </w:footnote>
  <w:footnote w:id="11">
    <w:p>
      <w:pPr>
        <w:pStyle w:val="FootnoteText"/>
      </w:pPr>
      <w:r>
        <w:rPr>
          <w:rStyle w:val="FootnoteReference"/>
        </w:rPr>
        <w:footnoteRef/>
      </w:r>
      <w:r>
        <w:t xml:space="preserve"> </w:t>
      </w:r>
      <w:r>
        <w:t xml:space="preserve">Charles A. Reich,</w:t>
      </w:r>
      <w:r>
        <w:t xml:space="preserve"> </w:t>
      </w:r>
      <w:r>
        <w:t xml:space="preserve">“The New Property,”</w:t>
      </w:r>
      <w:r>
        <w:t xml:space="preserve"> </w:t>
      </w:r>
      <w:r>
        <w:rPr>
          <w:i/>
          <w:iCs/>
        </w:rPr>
        <w:t xml:space="preserve">Yale Law Journal</w:t>
      </w:r>
      <w:r>
        <w:t xml:space="preserve"> </w:t>
      </w:r>
      <w:r>
        <w:t xml:space="preserve">73, no. 5 (1964): 733–787.</w:t>
      </w:r>
    </w:p>
  </w:footnote>
  <w:footnote w:id="12">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741.</w:t>
      </w:r>
    </w:p>
  </w:footnote>
  <w:footnote w:id="13">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783.</w:t>
      </w:r>
    </w:p>
  </w:footnote>
  <w:footnote w:id="14">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786:</w:t>
      </w:r>
      <w:r>
        <w:t xml:space="preserve"> </w:t>
      </w:r>
      <w:r>
        <w:t xml:space="preserve">“There are many other new forms of wealth: franchises in private businesses, equities in corporations, the right to receive privately furnished utilities and services, status in private organizations. These too may need added safeguards in the future.”</w:t>
      </w:r>
    </w:p>
  </w:footnote>
  <w:footnote w:id="15">
    <w:p>
      <w:pPr>
        <w:pStyle w:val="FootnoteText"/>
      </w:pPr>
      <w:r>
        <w:rPr>
          <w:rStyle w:val="FootnoteReference"/>
        </w:rPr>
        <w:footnoteRef/>
      </w:r>
      <w:r>
        <w:t xml:space="preserve"> </w:t>
      </w:r>
      <w:r>
        <w:t xml:space="preserve">Two coders worked all thirty-five segments from the transcript without sight of each other’s sheets, coding each for its relation to paid work and for any attempt to convert something into money. Agreement was 34/35 on the first dimension (Cohen’s κ = 0.96) and 33/35 on the second (κ = 0.91), with all three disagreements preserved rather than reconciled. Both coders returned identical segment lists for every figure cited here. The full tables, the coding scheme, and the prediction as it was recorded before the count are available from the author. The transcript is subtitle-derived, so this is a census of what can be heard and not of what the film shows.</w:t>
      </w:r>
    </w:p>
  </w:footnote>
  <w:footnote w:id="16">
    <w:p>
      <w:pPr>
        <w:pStyle w:val="FootnoteText"/>
      </w:pPr>
      <w:r>
        <w:rPr>
          <w:rStyle w:val="FootnoteReference"/>
        </w:rPr>
        <w:footnoteRef/>
      </w:r>
      <w:r>
        <w:t xml:space="preserve"> </w:t>
      </w:r>
      <w:r>
        <w:t xml:space="preserve">U.S. Bureau of the Census,</w:t>
      </w:r>
      <w:r>
        <w:t xml:space="preserve"> </w:t>
      </w:r>
      <w:r>
        <w:rPr>
          <w:i/>
          <w:iCs/>
        </w:rPr>
        <w:t xml:space="preserve">1990 Census of Population and Housing, Population and Housing Unit Counts: Texas</w:t>
      </w:r>
      <w:r>
        <w:t xml:space="preserve">, 1990 CPH-2-45, Table 9. The city’s boundaries changed over the decade. Household size fell nationally through the 1980s, which produces a gap of this kind with no surplus, so the figure is offered as context rather than as evidence of overbuilding.</w:t>
      </w:r>
    </w:p>
  </w:footnote>
  <w:footnote w:id="17">
    <w:p>
      <w:pPr>
        <w:pStyle w:val="FootnoteText"/>
      </w:pPr>
      <w:r>
        <w:rPr>
          <w:rStyle w:val="FootnoteReference"/>
        </w:rPr>
        <w:footnoteRef/>
      </w:r>
      <w:r>
        <w:t xml:space="preserve"> </w:t>
      </w:r>
      <w:r>
        <w:t xml:space="preserve">Real Estate Center, Texas A&amp;M University,</w:t>
      </w:r>
      <w:r>
        <w:t xml:space="preserve"> </w:t>
      </w:r>
      <w:r>
        <w:rPr>
          <w:i/>
          <w:iCs/>
        </w:rPr>
        <w:t xml:space="preserve">Texas Real Estate Center Trends</w:t>
      </w:r>
      <w:r>
        <w:t xml:space="preserve"> </w:t>
      </w:r>
      <w:r>
        <w:t xml:space="preserve">3, no. 8 (April 1990), Table 1.</w:t>
      </w:r>
    </w:p>
  </w:footnote>
  <w:footnote w:id="18">
    <w:p>
      <w:pPr>
        <w:pStyle w:val="FootnoteText"/>
      </w:pPr>
      <w:r>
        <w:rPr>
          <w:rStyle w:val="FootnoteReference"/>
        </w:rPr>
        <w:footnoteRef/>
      </w:r>
      <w:r>
        <w:t xml:space="preserve"> </w:t>
      </w:r>
      <w:r>
        <w:t xml:space="preserve">U.S. Bureau of the Census,</w:t>
      </w:r>
      <w:r>
        <w:t xml:space="preserve"> </w:t>
      </w:r>
      <w:r>
        <w:rPr>
          <w:i/>
          <w:iCs/>
        </w:rPr>
        <w:t xml:space="preserve">1990 Census of Housing, General Housing Characteristics: Texas</w:t>
      </w:r>
      <w:r>
        <w:t xml:space="preserve">, 1990 CH-1-45, sec. 1, Table 1; U.S. Department of Education, NCES, IPEDS Fall Enrollment 1989, file EF1989_A, UNITID 228778.</w:t>
      </w:r>
    </w:p>
  </w:footnote>
  <w:footnote w:id="19">
    <w:p>
      <w:pPr>
        <w:pStyle w:val="FootnoteText"/>
      </w:pPr>
      <w:r>
        <w:rPr>
          <w:rStyle w:val="FootnoteReference"/>
        </w:rPr>
        <w:footnoteRef/>
      </w:r>
      <w:r>
        <w:t xml:space="preserve"> </w:t>
      </w:r>
      <w:r>
        <w:t xml:space="preserve">Census,</w:t>
      </w:r>
      <w:r>
        <w:t xml:space="preserve"> </w:t>
      </w:r>
      <w:r>
        <w:rPr>
          <w:i/>
          <w:iCs/>
        </w:rPr>
        <w:t xml:space="preserve">General Housing Characteristics: Texas</w:t>
      </w:r>
      <w:r>
        <w:t xml:space="preserve">, 1990 CH-1-45, sec. 1, Table 1.</w:t>
      </w:r>
    </w:p>
  </w:footnote>
  <w:footnote w:id="20">
    <w:p>
      <w:pPr>
        <w:pStyle w:val="FootnoteText"/>
      </w:pPr>
      <w:r>
        <w:rPr>
          <w:rStyle w:val="FootnoteReference"/>
        </w:rPr>
        <w:footnoteRef/>
      </w:r>
      <w:r>
        <w:t xml:space="preserve"> </w:t>
      </w:r>
      <w:r>
        <w:rPr>
          <w:i/>
          <w:iCs/>
        </w:rPr>
        <w:t xml:space="preserve">New York Times</w:t>
      </w:r>
      <w:r>
        <w:t xml:space="preserve">, 7 August 1991.</w:t>
      </w:r>
    </w:p>
  </w:footnote>
  <w:footnote w:id="21">
    <w:p>
      <w:pPr>
        <w:pStyle w:val="FootnoteText"/>
      </w:pPr>
      <w:r>
        <w:rPr>
          <w:rStyle w:val="FootnoteReference"/>
        </w:rPr>
        <w:footnoteRef/>
      </w:r>
      <w:r>
        <w:t xml:space="preserve"> </w:t>
      </w:r>
      <w:r>
        <w:t xml:space="preserve">Mary P. Erickson,</w:t>
      </w:r>
      <w:r>
        <w:t xml:space="preserve"> </w:t>
      </w:r>
      <w:r>
        <w:t xml:space="preserve">“</w:t>
      </w:r>
      <w:r>
        <w:t xml:space="preserve">‘I Think I Still Qualify as a Slacker … Just One That’s Currently Lucky’</w:t>
      </w:r>
      <w:r>
        <w:t xml:space="preserve">: The Myths of</w:t>
      </w:r>
      <w:r>
        <w:t xml:space="preserve"> </w:t>
      </w:r>
      <w:r>
        <w:rPr>
          <w:i/>
          <w:iCs/>
        </w:rPr>
        <w:t xml:space="preserve">Slacker</w:t>
      </w:r>
      <w:r>
        <w:t xml:space="preserve">, Austin, and Richard Linklater,”</w:t>
      </w:r>
      <w:r>
        <w:t xml:space="preserve"> </w:t>
      </w:r>
      <w:r>
        <w:t xml:space="preserve">in</w:t>
      </w:r>
      <w:r>
        <w:t xml:space="preserve"> </w:t>
      </w:r>
      <w:r>
        <w:rPr>
          <w:i/>
          <w:iCs/>
        </w:rPr>
        <w:t xml:space="preserve">ReFocus: The Films of Richard Linklater</w:t>
      </w:r>
      <w:r>
        <w:t xml:space="preserve">, ed. Kim Wilkins and Timotheus Vermeulen (Edinburgh: Edinburgh University Press, 2022), 15–33; Joshua Long,</w:t>
      </w:r>
      <w:r>
        <w:t xml:space="preserve"> </w:t>
      </w:r>
      <w:r>
        <w:rPr>
          <w:i/>
          <w:iCs/>
        </w:rPr>
        <w:t xml:space="preserve">Weird City: Sense of Place and Creative Resistance in Austin, Texas</w:t>
      </w:r>
      <w:r>
        <w:t xml:space="preserve"> </w:t>
      </w:r>
      <w:r>
        <w:t xml:space="preserve">(Austin: University of Texas Press, 2010). The Long quotation was located by search inside an ebook edition and its page should be confirmed against print. Long’s subject is the enclosure of Austin’s weirdness in the 2000s rather than the ecology of 1990, so he stands as the later half of the story rather than as a witness to this one. See also Andrew Busch’s review essay in</w:t>
      </w:r>
      <w:r>
        <w:t xml:space="preserve"> </w:t>
      </w:r>
      <w:r>
        <w:rPr>
          <w:i/>
          <w:iCs/>
        </w:rPr>
        <w:t xml:space="preserve">American Quarterly</w:t>
      </w:r>
      <w:r>
        <w:t xml:space="preserve"> </w:t>
      </w:r>
      <w:r>
        <w:t xml:space="preserve">63, no. 2 (2011): 399–408, which faults Long for attending to middle-class South Austin while overlooking gentrification on the east side, a caveat that bears directly on who a reaching city reaches.</w:t>
      </w:r>
    </w:p>
  </w:footnote>
  <w:footnote w:id="22">
    <w:p>
      <w:pPr>
        <w:pStyle w:val="FootnoteText"/>
      </w:pPr>
      <w:r>
        <w:rPr>
          <w:rStyle w:val="FootnoteReference"/>
        </w:rPr>
        <w:footnoteRef/>
      </w:r>
      <w:r>
        <w:t xml:space="preserve"> </w:t>
      </w:r>
      <w:r>
        <w:t xml:space="preserve">The census and both codings are mine; the two coders’ full tables, with every disagreement preserved unresolved rather than reconciled by fiat, are available from the author. Cohen’s κ corrects raw agreement for the share expected by chance.</w:t>
      </w:r>
    </w:p>
  </w:footnote>
  <w:footnote w:id="23">
    <w:p>
      <w:pPr>
        <w:pStyle w:val="FootnoteText"/>
      </w:pPr>
      <w:r>
        <w:rPr>
          <w:rStyle w:val="FootnoteReference"/>
        </w:rPr>
        <w:footnoteRef/>
      </w:r>
      <w:r>
        <w:t xml:space="preserve"> </w:t>
      </w:r>
      <w:r>
        <w:t xml:space="preserve">The equivocal seams, by segment pair. At 5→6 the line at the seam falls on the far side of my segmentation’s boundary while the coders’ notes treat it as the earlier scene’s closing beat, and a transcript without speaker names cannot assign it [DISC:T2]. At 12→13 the reply at the seam answers a line the transcript never carries [DISC:T3]. At 13→14,</w:t>
      </w:r>
      <w:r>
        <w:t xml:space="preserve"> </w:t>
      </w:r>
      <w:r>
        <w:t xml:space="preserve">“They’re back”</w:t>
      </w:r>
      <w:r>
        <w:t xml:space="preserve"> </w:t>
      </w:r>
      <w:r>
        <w:t xml:space="preserve">names no referent anywhere in the dialogue [DISC:T4]. At 22→23 an object changes hands unnamed, and if it is the rare Marquis de Sade the burglars admire two lines later the seam is a bridge; if not it is bare, and this single case is what makes the figure a band rather than a number [DISC:T6]. At 34→35 the transcript simply ends, the final sequence having no dialogue, so this instrument can show neither a link nor its absence [DISC:T11]. Three pairs of segments share overlapping line ranges and several boundaries fall inside continuous exchanges, so a few codes describe where I drew a seam rather than where the film cut; they stay in the count, flagged, because deleting any of them would manufacture the point estimate the band exists to refuse. Two of the film’s neatest repetitions rest on exact subtitle wording and I argue from neither [DISC:T5].</w:t>
      </w:r>
    </w:p>
  </w:footnote>
  <w:footnote w:id="24">
    <w:p>
      <w:pPr>
        <w:pStyle w:val="FootnoteText"/>
      </w:pPr>
      <w:r>
        <w:rPr>
          <w:rStyle w:val="FootnoteReference"/>
        </w:rPr>
        <w:footnoteRef/>
      </w:r>
      <w:r>
        <w:t xml:space="preserve"> </w:t>
      </w:r>
      <w:r>
        <w:t xml:space="preserve">Amazon.com, Inc.,</w:t>
      </w:r>
      <w:r>
        <w:t xml:space="preserve"> </w:t>
      </w:r>
      <w:r>
        <w:t xml:space="preserve">“Prime Video Direct Content Providers: Licensing Consideration and Title Review,”</w:t>
      </w:r>
      <w:r>
        <w:t xml:space="preserve"> </w:t>
      </w:r>
      <w:r>
        <w:t xml:space="preserve">Prime Video Tech Docs, last updated August 5, 2025, a living page quoted as retrieved on August 1, 2026. The sentence carrying the phrase</w:t>
      </w:r>
      <w:r>
        <w:t xml:space="preserve"> </w:t>
      </w:r>
      <w:r>
        <w:t xml:space="preserve">“engagement standards”</w:t>
      </w:r>
      <w:r>
        <w:t xml:space="preserve"> </w:t>
      </w:r>
      <w:r>
        <w:t xml:space="preserve">and the words</w:t>
      </w:r>
      <w:r>
        <w:t xml:space="preserve"> </w:t>
      </w:r>
      <w:r>
        <w:t xml:space="preserve">“may be subject to removal”</w:t>
      </w:r>
      <w:r>
        <w:t xml:space="preserve"> </w:t>
      </w:r>
      <w:r>
        <w:t xml:space="preserve">follows the review sentence on the same page.</w:t>
      </w:r>
    </w:p>
  </w:footnote>
  <w:footnote w:id="25">
    <w:p>
      <w:pPr>
        <w:pStyle w:val="FootnoteText"/>
      </w:pPr>
      <w:r>
        <w:rPr>
          <w:rStyle w:val="FootnoteReference"/>
        </w:rPr>
        <w:footnoteRef/>
      </w:r>
      <w:r>
        <w:t xml:space="preserve"> </w:t>
      </w:r>
      <w:r>
        <w:t xml:space="preserve">Rideshare Drivers United and Asian Law Caucus,</w:t>
      </w:r>
      <w:r>
        <w:t xml:space="preserve"> </w:t>
      </w:r>
      <w:r>
        <w:rPr>
          <w:i/>
          <w:iCs/>
        </w:rPr>
        <w:t xml:space="preserve">Fired by an App: The Toll of Secret Algorithms and Unchecked Discrimination on California Rideshare Drivers</w:t>
      </w:r>
      <w:r>
        <w:t xml:space="preserve"> </w:t>
      </w:r>
      <w:r>
        <w:t xml:space="preserve">(report, February 2023), 15, 19. The two-thirds figure pools temporary suspension with permanent removal, and the thirty percent is of drivers who were deactivated rather than of all 810 surveyed. Recruitment ran through the union’s networks, two community organizations, and paid advertising; the report says of its own respondents that they</w:t>
      </w:r>
      <w:r>
        <w:t xml:space="preserve"> </w:t>
      </w:r>
      <w:r>
        <w:t xml:space="preserve">“may be more likely to be inclined to participate in a survey as a way of documenting or sharing their experience with deactivation.”</w:t>
      </w:r>
    </w:p>
  </w:footnote>
  <w:footnote w:id="26">
    <w:p>
      <w:pPr>
        <w:pStyle w:val="FootnoteText"/>
      </w:pPr>
      <w:r>
        <w:rPr>
          <w:rStyle w:val="FootnoteReference"/>
        </w:rPr>
        <w:footnoteRef/>
      </w:r>
      <w:r>
        <w:t xml:space="preserve"> </w:t>
      </w:r>
      <w:r>
        <w:t xml:space="preserve">Foreign Exchange Committee, Federal Reserve Bank of New York,</w:t>
      </w:r>
      <w:r>
        <w:t xml:space="preserve"> </w:t>
      </w:r>
      <w:r>
        <w:rPr>
          <w:i/>
          <w:iCs/>
        </w:rPr>
        <w:t xml:space="preserve">Annual Report 1991</w:t>
      </w:r>
      <w:r>
        <w:t xml:space="preserve">, 8, which describes the then-planned electronic broking systems as under development in November 1991. Reuters Dealing 2000-2 opened in 1992; EBS launched in September 1993, following a funding decision in January 1990 and a formal partnership in May 1992. The film’s Dobie run was in 1990 and its New York opening on 5 July 1991, so the venues follow the film by one to three years rather than accompanying it.</w:t>
      </w:r>
    </w:p>
  </w:footnote>
  <w:footnote w:id="27">
    <w:p>
      <w:pPr>
        <w:pStyle w:val="FootnoteText"/>
      </w:pPr>
      <w:r>
        <w:rPr>
          <w:rStyle w:val="FootnoteReference"/>
        </w:rPr>
        <w:footnoteRef/>
      </w:r>
      <w:r>
        <w:t xml:space="preserve"> </w:t>
      </w:r>
      <w:r>
        <w:t xml:space="preserve">Bank for International Settlements,</w:t>
      </w:r>
      <w:r>
        <w:t xml:space="preserve"> </w:t>
      </w:r>
      <w:r>
        <w:rPr>
          <w:i/>
          <w:iCs/>
        </w:rPr>
        <w:t xml:space="preserve">Quarterly Review</w:t>
      </w:r>
      <w:r>
        <w:t xml:space="preserve">, December 2019, 41–42:</w:t>
      </w:r>
      <w:r>
        <w:t xml:space="preserve"> </w:t>
      </w:r>
      <w:r>
        <w:t xml:space="preserve">“</w:t>
      </w:r>
      <w:r>
        <w:t xml:space="preserve">‘Indirect’</w:t>
      </w:r>
      <w:r>
        <w:t xml:space="preserve"> </w:t>
      </w:r>
      <w:r>
        <w:t xml:space="preserve">refers to the involvement of a third party in the matching process. This can, for instance, be a traditional voice broker, an electronic broking platform or a multi-bank platform.”</w:t>
      </w:r>
      <w:r>
        <w:t xml:space="preserve"> </w:t>
      </w:r>
      <w:r>
        <w:t xml:space="preserve">The venues say the same from inside:</w:t>
      </w:r>
      <w:r>
        <w:t xml:space="preserve"> </w:t>
      </w:r>
      <w:r>
        <w:rPr>
          <w:i/>
          <w:iCs/>
        </w:rPr>
        <w:t xml:space="preserve">LSEG FX UK MTF Rule Book</w:t>
      </w:r>
      <w:r>
        <w:t xml:space="preserve">, v1.2, effective 1 December 2025, Rule 1.1.4, 13,</w:t>
      </w:r>
      <w:r>
        <w:t xml:space="preserve"> </w:t>
      </w:r>
      <w:r>
        <w:t xml:space="preserve">“LSEG is not a party to … Transactions conducted on the Platform. Payment and settlement … are the sole responsibility of the two Participants concerned,”</w:t>
      </w:r>
      <w:r>
        <w:t xml:space="preserve"> </w:t>
      </w:r>
      <w:r>
        <w:t xml:space="preserve">and</w:t>
      </w:r>
      <w:r>
        <w:t xml:space="preserve"> </w:t>
      </w:r>
      <w:r>
        <w:rPr>
          <w:i/>
          <w:iCs/>
        </w:rPr>
        <w:t xml:space="preserve">EBS MTF Rulebook</w:t>
      </w:r>
      <w:r>
        <w:t xml:space="preserve">, Rule 2.9, 6,</w:t>
      </w:r>
      <w:r>
        <w:t xml:space="preserve"> </w:t>
      </w:r>
      <w:r>
        <w:t xml:space="preserve">“The Operator is not a party to any Transaction.”</w:t>
      </w:r>
    </w:p>
  </w:footnote>
  <w:footnote w:id="28">
    <w:p>
      <w:pPr>
        <w:pStyle w:val="FootnoteText"/>
      </w:pPr>
      <w:r>
        <w:rPr>
          <w:rStyle w:val="FootnoteReference"/>
        </w:rPr>
        <w:footnoteRef/>
      </w:r>
      <w:r>
        <w:t xml:space="preserve"> </w:t>
      </w:r>
      <w:r>
        <w:t xml:space="preserve">The tipping is attributed to network externalities in the central-bank literature of the period and produced one dominant venue per currency pair rather than one worldwide, with EBS and Reuters splitting the major pairs between them.</w:t>
      </w:r>
    </w:p>
  </w:footnote>
  <w:footnote w:id="29">
    <w:p>
      <w:pPr>
        <w:pStyle w:val="FootnoteText"/>
      </w:pPr>
      <w:r>
        <w:rPr>
          <w:rStyle w:val="FootnoteReference"/>
        </w:rPr>
        <w:footnoteRef/>
      </w:r>
      <w:r>
        <w:t xml:space="preserve"> </w:t>
      </w:r>
      <w:r>
        <w:rPr>
          <w:i/>
          <w:iCs/>
        </w:rPr>
        <w:t xml:space="preserve">LSEG FX SEF Rulebook</w:t>
      </w:r>
      <w:r>
        <w:t xml:space="preserve">, v4.1, effective 11 August 2026, Rules 302(g)–(h), at 31, which oblige written reasons within fourteen days and provide for reconsideration;</w:t>
      </w:r>
      <w:r>
        <w:t xml:space="preserve"> </w:t>
      </w:r>
      <w:r>
        <w:rPr>
          <w:i/>
          <w:iCs/>
        </w:rPr>
        <w:t xml:space="preserve">LSEG FX UK MTF Rule Book</w:t>
      </w:r>
      <w:r>
        <w:t xml:space="preserve">, v1.2, Rule 3.1.5, at 21, permitting revocation, suspension, or restriction of access</w:t>
      </w:r>
      <w:r>
        <w:t xml:space="preserve"> </w:t>
      </w:r>
      <w:r>
        <w:t xml:space="preserve">“in the sole discretion of LSEG,”</w:t>
      </w:r>
      <w:r>
        <w:t xml:space="preserve"> </w:t>
      </w:r>
      <w:r>
        <w:t xml:space="preserve">qualified at Rule 5.1.4, at 27, only by an endeavour to give prior written notice</w:t>
      </w:r>
      <w:r>
        <w:t xml:space="preserve"> </w:t>
      </w:r>
      <w:r>
        <w:t xml:space="preserve">“to the extent it is reasonably able to.”</w:t>
      </w:r>
      <w:r>
        <w:t xml:space="preserve"> </w:t>
      </w:r>
      <w:r>
        <w:t xml:space="preserve">The FX Global Code (updated December 2024), Principle 9, obliges a platform to be transparent about how it handles an order and is silent on how it handles a party.</w:t>
      </w:r>
    </w:p>
  </w:footnote>
  <w:footnote w:id="30">
    <w:p>
      <w:pPr>
        <w:pStyle w:val="FootnoteText"/>
      </w:pPr>
      <w:r>
        <w:rPr>
          <w:rStyle w:val="FootnoteReference"/>
        </w:rPr>
        <w:footnoteRef/>
      </w:r>
      <w:r>
        <w:t xml:space="preserve"> </w:t>
      </w:r>
      <w:r>
        <w:t xml:space="preserve">The counterfactual is to restore a forbidden direct edge between a third party’s two neighbours and read whether the third stays in the coordination’s irreducible core. The results are in-silico throughout, run over stylized three-element Boolean models, and classify rather than measure.</w:t>
      </w:r>
    </w:p>
  </w:footnote>
  <w:footnote w:id="31">
    <w:p>
      <w:pPr>
        <w:pStyle w:val="FootnoteText"/>
      </w:pPr>
      <w:r>
        <w:rPr>
          <w:rStyle w:val="FootnoteReference"/>
        </w:rPr>
        <w:footnoteRef/>
      </w:r>
      <w:r>
        <w:t xml:space="preserve"> </w:t>
      </w:r>
      <w:r>
        <w:t xml:space="preserve">The construct and its three dimensions are developed in a companion paper by the author. The definition quoted here is its own.</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imes New Roman" w:cstheme="majorBidi" w:eastAsia="Times New Roman" w:eastAsiaTheme="majorEastAsia" w:hAnsi="Times New Roman" w:hAnsiTheme="majorHAnsi"/>
      <w:color w:themeColor="text2" w:themeShade="BF" w:val="17365D"/>
      <w:spacing w:val="5"/>
      <w:kern w:val="28"/>
      <w:sz w:val="2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imes New Roman" w:cstheme="majorBidi" w:eastAsia="Times New Roman" w:eastAsiaTheme="majorEastAsia" w:hAnsi="Times New Roman"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2026-08-11T20:12:55Z</dcterms:created>
  <dcterms:modified xsi:type="dcterms:W3CDTF">2026-08-11T20:12:55Z</dcterms:modified>
</cp:coreProperties>
</file>

<file path=docProps/custom.xml><?xml version="1.0" encoding="utf-8"?>
<Properties xmlns="http://schemas.openxmlformats.org/officeDocument/2006/custom-properties" xmlns:vt="http://schemas.openxmlformats.org/officeDocument/2006/docPropsVTypes"/>
</file>