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5dbf847ea8c4858f844b689696de5f4593300a5"/>
    <w:p>
      <w:pPr>
        <w:pStyle w:val="Heading1"/>
      </w:pPr>
      <w:r>
        <w:t xml:space="preserve">The Third Nobody Chose:</w:t>
      </w:r>
      <w:r>
        <w:t xml:space="preserve"> </w:t>
      </w:r>
      <w:r>
        <w:rPr>
          <w:i/>
          <w:iCs/>
        </w:rPr>
        <w:t xml:space="preserve">Slacker</w:t>
      </w:r>
      <w:r>
        <w:t xml:space="preserve">, and the Story of a Platform</w:t>
      </w:r>
    </w:p>
    <w:bookmarkStart w:id="9" w:name="roger-hunt-bentley-university"/>
    <w:p>
      <w:pPr>
        <w:pStyle w:val="Heading4"/>
      </w:pPr>
      <w:r>
        <w:t xml:space="preserve">Roger Hunt, Bentley University</w:t>
      </w:r>
    </w:p>
    <w:bookmarkEnd w:id="9"/>
    <w:bookmarkStart w:id="11" w:name="between-reich-and-stark"/>
    <w:p>
      <w:pPr>
        <w:pStyle w:val="Heading2"/>
      </w:pPr>
      <w:r>
        <w:t xml:space="preserve">1. Between Reich and Stark</w:t>
      </w:r>
    </w:p>
    <w:p>
      <w:pPr>
        <w:pStyle w:val="FirstParagraph"/>
      </w:pPr>
      <w:r>
        <w:rPr>
          <w:i/>
          <w:iCs/>
        </w:rPr>
        <w:t xml:space="preserve">Slacker</w:t>
      </w:r>
      <w:r>
        <w:t xml:space="preserve"> </w:t>
      </w:r>
      <w:r>
        <w:t xml:space="preserve">follows roughly a hundred people across one day in Austin. Almost none of them gets a continuous story. A character enters, talks for a stretch, then leaves the frame and does not come back as a continuing subject. Most of these people never meet one another. The day does not gather them into one plot, and the film still holds together for audiences who have no trouble following it. Published accounts of why it holds together usually stop at one claim: the camera joins scenes the characters do not join. That claim names a joiner. It does not say what kind of coordinator a camera is.</w:t>
      </w:r>
    </w:p>
    <w:p>
      <w:pPr>
        <w:pStyle w:val="BodyText"/>
      </w:pPr>
      <w:r>
        <w:t xml:space="preserve">By a third I mean a coordinating position that is neither of the parties it joins. It is not one of the strangers on screen, and not the viewer either. It is something that holds them in a shared field. A platform, in the sense I use here, is a third that holds people within reach of one another and brokers none of their meetings. When it arranges an encounter, it arranges it impersonally, knowing neither party as a party. People share a relation to something outside them; no broker—no intermediary who knows both sides of a particular pair—pairs them. Austin holds the strangers available. The camera selects which stranger the viewer meets next. Markets, firms, and networks do not fit the footage. The people on screen rarely contract, rarely work under one hierarchy, and rarely collaborate, yet the city and the camera still coordinate them. Apps and feeds are later machines that builders raised on that form, older than the software that now carries the name.</w:t>
      </w:r>
    </w:p>
    <w:p>
      <w:pPr>
        <w:pStyle w:val="BodyText"/>
      </w:pPr>
      <w:r>
        <w:t xml:space="preserve">Simmel named the structure of a coordinator that unifies by a common outside relation without knowing which two will meet. Royce named membership when those people never meet face to face. Reich named access that a grantor holds as a grant and whose reasons that grantor can withhold. Stark and Pais later gave the coordinating verb the earlier three lacked. Compress each organizational form into a verb and the contrast is sharp. Markets coordinate by contracting. Hierarchies coordinate by commanding. Networks coordinate by collaborating. Platforms coordinate by co-opting: owners enroll providers and users in the practices of algorithmic management without anyone having delegated managerial authority to them.</w:t>
      </w:r>
      <w:r>
        <w:rPr>
          <w:rStyle w:val="FootnoteReference"/>
        </w:rPr>
        <w:footnoteReference w:id="1"/>
      </w:r>
      <w:r>
        <w:t xml:space="preserve"> </w:t>
      </w:r>
      <w:r>
        <w:t xml:space="preserve">Linklater shot</w:t>
      </w:r>
      <w:r>
        <w:t xml:space="preserve"> </w:t>
      </w:r>
      <w:r>
        <w:rPr>
          <w:i/>
          <w:iCs/>
        </w:rPr>
        <w:t xml:space="preserve">Slacker</w:t>
      </w:r>
      <w:r>
        <w:t xml:space="preserve"> </w:t>
      </w:r>
      <w:r>
        <w:t xml:space="preserve">in 1990, after Reich and before Stark and Pais. Simmel, Royce, and Reich had already theorized structure, membership, and grant-access; what digital systems had not yet done was gather reach, selection, permanent records, and enrollment into a single apparatus that issues determinations without a face to answer.</w:t>
      </w:r>
    </w:p>
    <w:p>
      <w:pPr>
        <w:pStyle w:val="BodyText"/>
      </w:pPr>
      <w:r>
        <w:t xml:space="preserve">The film does not predict Uber or a feed. It records the coordinating form before those machines fused its parts. Beside later platforms, the sidewalk and the cut already show three things platforms still do. A third holds strangers in reach. Something else decides who meets whom next. A grantor can deny access without stating a ground. No one shooting in Austin could have known the later names for those functions. The closing section returns to the competence those later machines demand of people who live inside them, which I call algorithmacy.</w:t>
      </w:r>
    </w:p>
    <w:bookmarkEnd w:id="11"/>
    <w:bookmarkStart w:id="15" w:name="structure-deferred-1908"/>
    <w:p>
      <w:pPr>
        <w:pStyle w:val="Heading2"/>
      </w:pPr>
      <w:r>
        <w:t xml:space="preserve">2. Structure deferred (1908)</w:t>
      </w:r>
    </w:p>
    <w:p>
      <w:pPr>
        <w:pStyle w:val="FirstParagraph"/>
      </w:pPr>
      <w:r>
        <w:t xml:space="preserve">If the camera’s joins have no structural name, critics will file them as style. They will call the joins an editing trademark, not a coordinating form. Simmel’s ordinary thirds will not supply that name, because each acts on a known pair. The non-partisan and the mediator repair a relation between two identified parties; the</w:t>
      </w:r>
      <w:r>
        <w:t xml:space="preserve"> </w:t>
      </w:r>
      <w:r>
        <w:rPr>
          <w:i/>
          <w:iCs/>
        </w:rPr>
        <w:t xml:space="preserve">tertius gaudens</w:t>
      </w:r>
      <w:r>
        <w:t xml:space="preserve">, the laughing third, profits from standing between them;</w:t>
      </w:r>
      <w:r>
        <w:t xml:space="preserve"> </w:t>
      </w:r>
      <w:r>
        <w:rPr>
          <w:i/>
          <w:iCs/>
        </w:rPr>
        <w:t xml:space="preserve">divide et impera</w:t>
      </w:r>
      <w:r>
        <w:t xml:space="preserve">, divide and rule, sets them against each other in order to rule both.</w:t>
      </w:r>
      <w:r>
        <w:rPr>
          <w:rStyle w:val="FootnoteReference"/>
        </w:rPr>
        <w:footnoteReference w:id="2"/>
      </w:r>
      <w:r>
        <w:t xml:space="preserve"> </w:t>
      </w:r>
      <w:r>
        <w:t xml:space="preserve">On the opening page of the same chapter Wolff translates the sentence that matters here:</w:t>
      </w:r>
      <w:r>
        <w:t xml:space="preserve"> </w:t>
      </w:r>
      <w:r>
        <w:t xml:space="preserve">“It is sociologically very significant that isolated elements are unified by their common relation to a phenomenon which lies outside of them.”</w:t>
      </w:r>
      <w:r>
        <w:t xml:space="preserve"> </w:t>
      </w:r>
      <w:r>
        <w:t xml:space="preserve">The examples are an alliance against a common enemy and the invisible church. Then he withholds the analysis.</w:t>
      </w:r>
      <w:r>
        <w:t xml:space="preserve"> </w:t>
      </w:r>
      <w:r>
        <w:t xml:space="preserve">“The group-forming, mediating function of a third element will be discussed in a later context.”</w:t>
      </w:r>
      <w:r>
        <w:t xml:space="preserve"> </w:t>
      </w:r>
      <w:r>
        <w:t xml:space="preserve">In the German:</w:t>
      </w:r>
      <w:r>
        <w:t xml:space="preserve"> </w:t>
      </w:r>
      <w:r>
        <w:t xml:space="preserve">“Diese gesellschaftsbildende Vermittlung eines dritten Elementes ist indes in späterem Zusammenhang zu behandeln.”</w:t>
      </w:r>
      <w:r>
        <w:rPr>
          <w:rStyle w:val="FootnoteReference"/>
        </w:rPr>
        <w:footnoteReference w:id="3"/>
      </w:r>
      <w:r>
        <w:t xml:space="preserve"> </w:t>
      </w:r>
      <w:r>
        <w:t xml:space="preserve">The reason he gives for setting the case aside is distance: the third stands so far from the other two that there exist no properly sociological interactions which concern all three alike. That undeveloped figure is the deferred third. It has no known pair and no broker who stands between identified parties. It is the only Simmelian third that matches a cut between strangers who never meet.</w:t>
      </w:r>
    </w:p>
    <w:p>
      <w:pPr>
        <w:pStyle w:val="BodyText"/>
      </w:pPr>
      <w:r>
        <w:t xml:space="preserve">That deferred third organizes</w:t>
      </w:r>
      <w:r>
        <w:t xml:space="preserve"> </w:t>
      </w:r>
      <w:r>
        <w:rPr>
          <w:i/>
          <w:iCs/>
        </w:rPr>
        <w:t xml:space="preserve">Slacker</w:t>
      </w:r>
      <w:r>
        <w:t xml:space="preserve"> </w:t>
      </w:r>
      <w:r>
        <w:t xml:space="preserve">from the first cut. A man off an overnight bus rides into Austin telling his taxi driver about the lives he did not choose; the driver never answers. One cut later a woman lies struck in the street, and the strangers who gather manage the emergency out loud, one calling an ambulance, one reaching her son by telephone, one pressing a business card on a witness:</w:t>
      </w:r>
      <w:r>
        <w:t xml:space="preserve"> </w:t>
      </w:r>
      <w:r>
        <w:t xml:space="preserve">“Take my card. Give me a call. … I’d like to hear from you. I mean it.”</w:t>
      </w:r>
      <w:r>
        <w:rPr>
          <w:rStyle w:val="FootnoteReference"/>
        </w:rPr>
        <w:footnoteReference w:id="4"/>
      </w:r>
      <w:r>
        <w:t xml:space="preserve"> </w:t>
      </w:r>
      <w:r>
        <w:t xml:space="preserve">The offer produces no later meeting. He leaves before the police arrive, and a bystander supplies the fact the scene has withheld:</w:t>
      </w:r>
      <w:r>
        <w:t xml:space="preserve"> </w:t>
      </w:r>
      <w:r>
        <w:t xml:space="preserve">“Looks like some guy, uh, ran over his mother.”</w:t>
      </w:r>
      <w:r>
        <w:t xml:space="preserve"> </w:t>
      </w:r>
      <w:r>
        <w:t xml:space="preserve">Between the taxi and the accident there is no audible link at all. Two strangers who will never learn of each other stand one scene apart; only their common relation to a day, a city, and a camera unifies them. No character brokers them. A broker knows both parties and stands between them; a sidewalk knows nobody, and neither does a cut.</w:t>
      </w:r>
    </w:p>
    <w:p>
      <w:pPr>
        <w:pStyle w:val="BodyText"/>
      </w:pPr>
      <w:r>
        <w:t xml:space="preserve">Analysts must keep reach and selection apart, or</w:t>
      </w:r>
      <w:r>
        <w:t xml:space="preserve"> </w:t>
      </w:r>
      <w:r>
        <w:t xml:space="preserve">“platform”</w:t>
      </w:r>
      <w:r>
        <w:t xml:space="preserve"> </w:t>
      </w:r>
      <w:r>
        <w:t xml:space="preserve">collapses into anything that joins people. Reach is the environment that holds people where they can summon one another without naming which two will meet. In the film that environment is the sidewalk and the city; later it is the app’s pool of users. Selection is the choice of who comes next for a viewer or a user. In the film that choice is the cut; later it is the feed. The cut selects for a viewer who is party to nothing on screen. The feed selects for the parties themselves, assigning a driver or a title to someone inside the system. What platforms inherited is the pairing of those two functions, not the identity of the person for whom selection chooses.</w:t>
      </w:r>
      <w:r>
        <w:t xml:space="preserve"> </w:t>
      </w:r>
      <w:r>
        <w:rPr>
          <w:i/>
          <w:iCs/>
        </w:rPr>
        <w:t xml:space="preserve">Slacker</w:t>
      </w:r>
      <w:r>
        <w:t xml:space="preserve"> </w:t>
      </w:r>
      <w:r>
        <w:t xml:space="preserve">already has both, and keeps them in separate hands. The city supplies reach. The camera supplies selection. Eighty years after Simmel set the figure aside, and thirty years before an app fused the two functions into one machine, the film already shows the platform shape as a division of labor between city and camera.</w:t>
      </w:r>
    </w:p>
    <w:bookmarkEnd w:id="15"/>
    <w:bookmarkStart w:id="22" w:name="membership-without-meeting-1913"/>
    <w:p>
      <w:pPr>
        <w:pStyle w:val="Heading2"/>
      </w:pPr>
      <w:r>
        <w:t xml:space="preserve">3. Membership without meeting (1913)</w:t>
      </w:r>
    </w:p>
    <w:p>
      <w:pPr>
        <w:pStyle w:val="FirstParagraph"/>
      </w:pPr>
      <w:r>
        <w:t xml:space="preserve">Simmel’s deferred third explains how a third can join strangers without a broker. It does not explain what belonging looks like when those strangers never meet, and without that account a hundred people in one day remain a crowd, not members of anything. Royce wrote the missing account in 1913. A community of memory, he says, takes shape when each of its members</w:t>
      </w:r>
      <w:r>
        <w:t xml:space="preserve"> </w:t>
      </w:r>
      <w:r>
        <w:t xml:space="preserve">“accepts as part of his own individual life and self the same past events that each of his fellow-members accepts”</w:t>
      </w:r>
      <w:r>
        <w:t xml:space="preserve">; a community of expectation, by the same relation to shared future events.</w:t>
      </w:r>
      <w:r>
        <w:rPr>
          <w:rStyle w:val="FootnoteReference"/>
        </w:rPr>
        <w:footnoteReference w:id="5"/>
      </w:r>
      <w:r>
        <w:t xml:space="preserve"> </w:t>
      </w:r>
      <w:r>
        <w:t xml:space="preserve">His example is two Maori, each of whom says that he came over in the canoe Tai-Nui. They form a community on that past even if, as Royce adds,</w:t>
      </w:r>
      <w:r>
        <w:t xml:space="preserve"> </w:t>
      </w:r>
      <w:r>
        <w:t xml:space="preserve">“Each may keep aloof from the other. They may be enemies.”</w:t>
      </w:r>
      <w:r>
        <w:rPr>
          <w:rStyle w:val="FootnoteReference"/>
        </w:rPr>
        <w:footnoteReference w:id="6"/>
      </w:r>
      <w:r>
        <w:t xml:space="preserve"> </w:t>
      </w:r>
      <w:r>
        <w:t xml:space="preserve">The present consciousnesses need not interpenetrate. Shared relation to an outside past or future is enough for membership. Under that standard, the film’s strangers are already members of a day and a city before any platform stores their record.</w:t>
      </w:r>
    </w:p>
    <w:p>
      <w:pPr>
        <w:pStyle w:val="BodyText"/>
      </w:pPr>
      <w:r>
        <w:t xml:space="preserve">Membership alone still leaves the camera undertheorized, because a cut could be mere montage—an aesthetic succession—and not a coordinating act. Royce held that interpretation takes three terms.</w:t>
      </w:r>
      <w:r>
        <w:t xml:space="preserve"> </w:t>
      </w:r>
      <w:r>
        <w:t xml:space="preserve">“Interpretation always involves a relation of three terms,”</w:t>
      </w:r>
      <w:r>
        <w:t xml:space="preserve"> </w:t>
      </w:r>
      <w:r>
        <w:t xml:space="preserve">he wrote.</w:t>
      </w:r>
      <w:r>
        <w:t xml:space="preserve"> </w:t>
      </w:r>
      <w:r>
        <w:t xml:space="preserve">“In the technical phrase, interpretation is a triadic relation.”</w:t>
      </w:r>
      <w:r>
        <w:t xml:space="preserve"> </w:t>
      </w:r>
      <w:r>
        <w:t xml:space="preserve">That is, you cannot express any complete process of interpreting by merely naming two terms and then telling what dyadic relation exists between one and the other.</w:t>
      </w:r>
      <w:r>
        <w:rPr>
          <w:rStyle w:val="FootnoteReference"/>
        </w:rPr>
        <w:footnoteReference w:id="7"/>
      </w:r>
      <w:r>
        <w:t xml:space="preserve"> </w:t>
      </w:r>
      <w:r>
        <w:t xml:space="preserve">Two dyads laid end to end are not a triad.</w:t>
      </w:r>
      <w:r>
        <w:rPr>
          <w:rStyle w:val="FootnoteReference"/>
        </w:rPr>
        <w:footnoteReference w:id="8"/>
      </w:r>
      <w:r>
        <w:t xml:space="preserve"> </w:t>
      </w:r>
      <w:r>
        <w:t xml:space="preserve">A camera that sequences strangers for a viewer occupies the interpreter’s place. It takes one party’s situation as its object and addresses another party, the viewer, with a next encounter. Royce required communication among living members beyond a shared past,</w:t>
      </w:r>
      <w:r>
        <w:rPr>
          <w:rStyle w:val="FootnoteReference"/>
        </w:rPr>
        <w:footnoteReference w:id="9"/>
      </w:r>
      <w:r>
        <w:t xml:space="preserve"> </w:t>
      </w:r>
      <w:r>
        <w:t xml:space="preserve">and for him all three terms are selves.</w:t>
      </w:r>
      <w:r>
        <w:rPr>
          <w:rStyle w:val="FootnoteReference"/>
        </w:rPr>
        <w:footnoteReference w:id="10"/>
      </w:r>
      <w:r>
        <w:t xml:space="preserve"> </w:t>
      </w:r>
      <w:r>
        <w:t xml:space="preserve">Reading a camera as interpreter therefore goes beyond him; that extension is mine. Royce gives membership without meeting. He does not give a machine that interprets. The film requires the extension, because the cut does work Royce reserved for minds: it selects who comes next for someone who never meets the people on screen.</w:t>
      </w:r>
    </w:p>
    <w:p>
      <w:pPr>
        <w:pStyle w:val="BodyText"/>
      </w:pPr>
      <w:r>
        <w:t xml:space="preserve">In a café a man dictates aphorisms, casting himself as Dostoyevsky and his companion as Anna at work on</w:t>
      </w:r>
      <w:r>
        <w:t xml:space="preserve"> </w:t>
      </w:r>
      <w:r>
        <w:rPr>
          <w:i/>
          <w:iCs/>
        </w:rPr>
        <w:t xml:space="preserve">The Gambler</w:t>
      </w:r>
      <w:r>
        <w:t xml:space="preserve">, when a passerby breaks in to ask after a friend:</w:t>
      </w:r>
      <w:r>
        <w:t xml:space="preserve"> </w:t>
      </w:r>
      <w:r>
        <w:t xml:space="preserve">“You seen Gary around?”</w:t>
      </w:r>
      <w:r>
        <w:t xml:space="preserve"> </w:t>
      </w:r>
      <w:r>
        <w:t xml:space="preserve">Nobody in the café has seen Gary for months, and the passerby leaves without an answer. A later scene never brings that passerby back. Instead it shows a different man telling a different listener that he overheard someone ask after a missing friend. The film never lets those two men meet, speak, or hand anything across. What joins them for the viewer is only the shared report that Gary is gone. One scene poses the question. Another scene carries news of the same absence. Neither speaker knows the other exists. Neither man meant to join the other, and neither has taken Gary’s absence into his own life as Royce’s condition of appropriation demands. They still stand in a common relation to that reported past. The man who carries the news then holds his listener through a suppressed moon program and a rain-forest drug that leaves</w:t>
      </w:r>
      <w:r>
        <w:t xml:space="preserve"> </w:t>
      </w:r>
      <w:r>
        <w:t xml:space="preserve">“perfect employees,”</w:t>
      </w:r>
      <w:r>
        <w:t xml:space="preserve"> </w:t>
      </w:r>
      <w:r>
        <w:t xml:space="preserve">and does not pass him on. Later he stops a second man—</w:t>
      </w:r>
      <w:r>
        <w:t xml:space="preserve">“Just a little security check. There’ve been some people missing”</w:t>
      </w:r>
      <w:r>
        <w:t xml:space="preserve">—and lets him go:</w:t>
      </w:r>
      <w:r>
        <w:t xml:space="preserve"> </w:t>
      </w:r>
      <w:r>
        <w:t xml:space="preserve">“You’re in a hurry. That makes perfect sense.”</w:t>
      </w:r>
      <w:r>
        <w:t xml:space="preserve"> </w:t>
      </w:r>
      <w:r>
        <w:t xml:space="preserve">The street made both openings possible by holding strangers in reach; it did not choose which of them would meet. Reach supplies the openings. Selection would choose among them. The film has the first and withholds the second.</w:t>
      </w:r>
    </w:p>
    <w:bookmarkEnd w:id="22"/>
    <w:bookmarkStart w:id="28" w:name="grants-and-powers-1964"/>
    <w:p>
      <w:pPr>
        <w:pStyle w:val="Heading2"/>
      </w:pPr>
      <w:r>
        <w:t xml:space="preserve">4. Grants and powers (1964)</w:t>
      </w:r>
    </w:p>
    <w:p>
      <w:pPr>
        <w:pStyle w:val="FirstParagraph"/>
      </w:pPr>
      <w:r>
        <w:t xml:space="preserve">Structure and membership still leave unexplained what a deferred third can do to people who depend on it for access. Without an account of those powers, the door scenes remain local color and today’s licensing pages have no ancestor in the film. When Steve hits the guest list, the door prices him, evaluates him, refuses him, and leaves him with no ground of argument. I call those four acts the powers of a deferred third over a dependent party. The door can set a price for entry, judge whether a name belongs on the list, put someone out, and refuse to say why. The taxonomy is mine, taken from the door; it is not Reich’s. Reich named the legal form of the dependence behind those powers twenty-six years before the film. A grantor holds access as a grant: that grantor issues permission and can revoke it. The holder does not own access as alienable property.</w:t>
      </w:r>
      <w:r>
        <w:rPr>
          <w:rStyle w:val="FootnoteReference"/>
        </w:rPr>
        <w:footnoteReference w:id="11"/>
      </w:r>
    </w:p>
    <w:p>
      <w:pPr>
        <w:pStyle w:val="BodyText"/>
      </w:pPr>
      <w:r>
        <w:t xml:space="preserve">“What’s up, dude? I’m on the guest list.”</w:t>
      </w:r>
      <w:r>
        <w:t xml:space="preserve"> </w:t>
      </w:r>
      <w:r>
        <w:t xml:space="preserve">The doorman answers with a price:</w:t>
      </w:r>
      <w:r>
        <w:t xml:space="preserve"> </w:t>
      </w:r>
      <w:r>
        <w:t xml:space="preserve">“Three dollars.”</w:t>
      </w:r>
      <w:r>
        <w:t xml:space="preserve"> </w:t>
      </w:r>
      <w:r>
        <w:t xml:space="preserve">Steve spells his name—</w:t>
      </w:r>
      <w:r>
        <w:t xml:space="preserve">“S-T-E-V-E. Steve plus three or four”</w:t>
      </w:r>
      <w:r>
        <w:t xml:space="preserve">—and the doorman refuses him:</w:t>
      </w:r>
      <w:r>
        <w:t xml:space="preserve"> </w:t>
      </w:r>
      <w:r>
        <w:t xml:space="preserve">“Sorry, Steve. Don’t see you.”</w:t>
      </w:r>
      <w:r>
        <w:t xml:space="preserve"> </w:t>
      </w:r>
      <w:r>
        <w:t xml:space="preserve">He argues that the band on stage is his roommate’s. The door does not change. Without a stated reason he cannot contest price, evaluation, or removal, which is why withholding the reason locks the other three powers in place.</w:t>
      </w:r>
    </w:p>
    <w:p>
      <w:pPr>
        <w:pStyle w:val="BodyText"/>
      </w:pPr>
      <w:r>
        <w:t xml:space="preserve">The door prices, and names a cover out loud at five dollars. It evaluates by checking a name against a list and refusing it. It removes at 2:00 a.m.:</w:t>
      </w:r>
      <w:r>
        <w:t xml:space="preserve"> </w:t>
      </w:r>
      <w:r>
        <w:t xml:space="preserve">“It’s past 2:00. Everybody out. … You gotta be somewhere. You can’t be here. And I wanna go home.”</w:t>
      </w:r>
      <w:r>
        <w:t xml:space="preserve"> </w:t>
      </w:r>
      <w:r>
        <w:t xml:space="preserve">Through all of it the door arranges nothing; it never chooses which two people will meet. Powers can therefore attach to a deferred third without turning that third into a broker. Later platforms do the same when they control access. They price a ride, rate a driver, or remove a title, and still arrange no meeting as a known pair.</w:t>
      </w:r>
    </w:p>
    <w:p>
      <w:pPr>
        <w:pStyle w:val="BodyText"/>
      </w:pPr>
      <w:r>
        <w:t xml:space="preserve">Reich also named the historical shift in how holders hold access itself, and that shift is what makes the guest list and the stamp two regimes of access, not two bits of nightclub business. Valuables had moved from ownership into grants; the holder faces a counterparty that writes the terms, changes them, decides disputes in its own forum, and owes no procedure.</w:t>
      </w:r>
      <w:r>
        <w:t xml:space="preserve"> </w:t>
      </w:r>
      <w:r>
        <w:t xml:space="preserve">“The granting, regulation, and revocation of government largess,”</w:t>
      </w:r>
      <w:r>
        <w:t xml:space="preserve"> </w:t>
      </w:r>
      <w:r>
        <w:t xml:space="preserve">he wrote,</w:t>
      </w:r>
      <w:r>
        <w:t xml:space="preserve"> </w:t>
      </w:r>
      <w:r>
        <w:t xml:space="preserve">“is carried on by procedures which, in varying degrees, represent short-cuts that tend to augment the power of the grantor at the expense of the recipient.”</w:t>
      </w:r>
      <w:r>
        <w:rPr>
          <w:rStyle w:val="FootnoteReference"/>
        </w:rPr>
        <w:footnoteReference w:id="11"/>
      </w:r>
      <w:r>
        <w:t xml:space="preserve"> </w:t>
      </w:r>
      <w:r>
        <w:t xml:space="preserve">Courts moved first where livelihood was at stake, on interests</w:t>
      </w:r>
      <w:r>
        <w:t xml:space="preserve"> </w:t>
      </w:r>
      <w:r>
        <w:t xml:space="preserve">“intimately bound up with the individual’s freedom to earn a living.”</w:t>
      </w:r>
      <w:r>
        <w:rPr>
          <w:rStyle w:val="FootnoteReference"/>
        </w:rPr>
        <w:footnoteReference w:id="12"/>
      </w:r>
      <w:r>
        <w:t xml:space="preserve"> </w:t>
      </w:r>
      <w:r>
        <w:t xml:space="preserve">His prescription states the fourth power as a legal demand against denial without disclosed grounds:</w:t>
      </w:r>
      <w:r>
        <w:t xml:space="preserve"> </w:t>
      </w:r>
      <w:r>
        <w:t xml:space="preserve">“The denial of any form of privilege or benefit on the basis of undisclosed reasons should no longer be tolerated.”</w:t>
      </w:r>
      <w:r>
        <w:rPr>
          <w:rStyle w:val="FootnoteReference"/>
        </w:rPr>
        <w:footnoteReference w:id="13"/>
      </w:r>
      <w:r>
        <w:t xml:space="preserve"> </w:t>
      </w:r>
      <w:r>
        <w:t xml:space="preserve">The film shows both regimes on one night. The guest list is a grant. The grantor keeps the record and can deny without a stated ground.</w:t>
      </w:r>
      <w:r>
        <w:t xml:space="preserve"> </w:t>
      </w:r>
      <w:r>
        <w:t xml:space="preserve">“I made him put me on the guest list, and I’m on the guest list,”</w:t>
      </w:r>
      <w:r>
        <w:t xml:space="preserve"> </w:t>
      </w:r>
      <w:r>
        <w:t xml:space="preserve">says a woman who is not on it. The stamp is property. Outside another door a man offers:</w:t>
      </w:r>
      <w:r>
        <w:t xml:space="preserve"> </w:t>
      </w:r>
      <w:r>
        <w:t xml:space="preserve">“But, uh, I got a stamp. I think I can, you know, get you in or something.”</w:t>
      </w:r>
      <w:r>
        <w:t xml:space="preserve"> </w:t>
      </w:r>
      <w:r>
        <w:t xml:space="preserve">He shows the transfer—</w:t>
      </w:r>
      <w:r>
        <w:t xml:space="preserve">“Here, watch. It’s easy. Watch. You just do this,”</w:t>
      </w:r>
      <w:r>
        <w:t xml:space="preserve"> </w:t>
      </w:r>
      <w:r>
        <w:t xml:space="preserve">whatever</w:t>
      </w:r>
      <w:r>
        <w:t xml:space="preserve"> </w:t>
      </w:r>
      <w:r>
        <w:rPr>
          <w:i/>
          <w:iCs/>
        </w:rPr>
        <w:t xml:space="preserve">this</w:t>
      </w:r>
      <w:r>
        <w:t xml:space="preserve"> </w:t>
      </w:r>
      <w:r>
        <w:t xml:space="preserve">is [DISC:S5]—and at the next door the same group uses it against another five-dollar cover. A holder can show and copy a stamp; nobody can show and copy a grant, because only the grantor’s record can confirm it. Platform life inherits the grant. The stamp is speakable access: you can demonstrate it and hand it on aloud. Platforms kept the grant and dropped that demonstration, so access no longer copies between strangers. Reich wrote about government. I apply the structure to private doors because that is where the film and later platforms locate the same dependence.</w:t>
      </w:r>
      <w:r>
        <w:rPr>
          <w:rStyle w:val="FootnoteReference"/>
        </w:rPr>
        <w:footnoteReference w:id="14"/>
      </w:r>
    </w:p>
    <w:p>
      <w:pPr>
        <w:pStyle w:val="BodyText"/>
      </w:pPr>
      <w:r>
        <w:t xml:space="preserve">By 1964, then, writers already had on the page the structure of the deferred third, the membership conditions under it, and the grant form of access. Nobody had yet named the coordinating verb—</w:t>
      </w:r>
      <w:r>
        <w:rPr>
          <w:i/>
          <w:iCs/>
        </w:rPr>
        <w:t xml:space="preserve">co-opt</w:t>
      </w:r>
      <w:r>
        <w:t xml:space="preserve">—or the single apparatus that would gather all four powers and remove the human face to whom one could still argue. Linklater shot</w:t>
      </w:r>
      <w:r>
        <w:t xml:space="preserve"> </w:t>
      </w:r>
      <w:r>
        <w:rPr>
          <w:i/>
          <w:iCs/>
        </w:rPr>
        <w:t xml:space="preserve">Slacker</w:t>
      </w:r>
      <w:r>
        <w:t xml:space="preserve"> </w:t>
      </w:r>
      <w:r>
        <w:t xml:space="preserve">in that historical interval, when people could still speak the form at a door and software had not yet gathered it.</w:t>
      </w:r>
    </w:p>
    <w:bookmarkEnd w:id="28"/>
    <w:bookmarkStart w:id="38" w:name="the-interval-a-city-and-a-camera-1990"/>
    <w:p>
      <w:pPr>
        <w:pStyle w:val="Heading2"/>
      </w:pPr>
      <w:r>
        <w:t xml:space="preserve">5. The interval: a city and a camera (1990)</w:t>
      </w:r>
    </w:p>
    <w:p>
      <w:pPr>
        <w:pStyle w:val="FirstParagraph"/>
      </w:pPr>
      <w:r>
        <w:t xml:space="preserve">A platform holds people in reach and brokers none of their meetings, so the film can show that form only where strangers are thick on the ground and where work does not already bind them into a firm. If Austin had been a workplace of continuous employment, the soundtrack would be hierarchy and payroll. If it had been a tight housing market, the day would read as bargaining over scarce shelter. The interval needs both conditions at once: enough reach for strangers to meet, and no employment relation that would already coordinate them. Without that pair, the film would be the wrong evidence between Reich’s grant and Stark and Pais’s verb.</w:t>
      </w:r>
    </w:p>
    <w:p>
      <w:pPr>
        <w:pStyle w:val="BodyText"/>
      </w:pPr>
      <w:r>
        <w:t xml:space="preserve">In 1990 Austin had both. I recorded a prediction before the work census. I expected paid work only at coordinating posts—the taxi, the café counter, and the door—and I expected everyone else to pitch, trade, or refuse work. The count confirmed the coordinating half and refuted the exclusive half. Both coders found paid work in ten of thirty-five segments, including children selling Cokes, a man selling shirts and magazines, a newspaper vendor, a store security supervisor, and two officers at the accident.</w:t>
      </w:r>
      <w:r>
        <w:rPr>
          <w:rStyle w:val="FootnoteReference"/>
        </w:rPr>
        <w:footnoteReference w:id="15"/>
      </w:r>
      <w:r>
        <w:t xml:space="preserve"> </w:t>
      </w:r>
      <w:r>
        <w:t xml:space="preserve">Someone staffs every audible coordinating post. The stronger finding surprised me. Across all thirty-five segments, nobody seeks, applies for, or arranges paid work. The only job search is a postcard about a housemate already gone—</w:t>
      </w:r>
      <w:r>
        <w:t xml:space="preserve">“So now he’s looking for a job that doesn’t involve much work”</w:t>
      </w:r>
      <w:r>
        <w:t xml:space="preserve">—so the city coordinates encounter without employing the people it holds. The day gives strangers a field in which they can meet, and no payroll that would turn those meetings into hierarchical work.</w:t>
      </w:r>
    </w:p>
    <w:p>
      <w:pPr>
        <w:pStyle w:val="BodyText"/>
      </w:pPr>
      <w:r>
        <w:t xml:space="preserve">Across the 1980s housing grew faster than population, 48.0 percent against 34.6.</w:t>
      </w:r>
      <w:r>
        <w:rPr>
          <w:rStyle w:val="FootnoteReference"/>
        </w:rPr>
        <w:footnoteReference w:id="16"/>
      </w:r>
      <w:r>
        <w:t xml:space="preserve"> </w:t>
      </w:r>
      <w:r>
        <w:t xml:space="preserve">In December 1989 Austin issued no multifamily permits, against 632 in Houston and 260 in Dallas.</w:t>
      </w:r>
      <w:r>
        <w:rPr>
          <w:rStyle w:val="FootnoteReference"/>
        </w:rPr>
        <w:footnoteReference w:id="17"/>
      </w:r>
      <w:r>
        <w:t xml:space="preserve"> </w:t>
      </w:r>
      <w:r>
        <w:t xml:space="preserve">Vacancy was 11.6 percent with 50,245 university students that autumn.</w:t>
      </w:r>
      <w:r>
        <w:rPr>
          <w:rStyle w:val="FootnoteReference"/>
        </w:rPr>
        <w:footnoteReference w:id="18"/>
      </w:r>
      <w:r>
        <w:t xml:space="preserve"> </w:t>
      </w:r>
      <w:r>
        <w:t xml:space="preserve">Median contract rent was $346, above Houston and San Antonio,</w:t>
      </w:r>
      <w:r>
        <w:rPr>
          <w:rStyle w:val="FootnoteReference"/>
        </w:rPr>
        <w:footnoteReference w:id="19"/>
      </w:r>
      <w:r>
        <w:t xml:space="preserve"> </w:t>
      </w:r>
      <w:r>
        <w:t xml:space="preserve">which means cheap rent cannot explain the ecology. The figures show surplus vacancy and low production capital relative to the city’s talk and foot traffic—slack, not cheap rent. Slack made a $23,000 shoot possible,</w:t>
      </w:r>
      <w:r>
        <w:rPr>
          <w:rStyle w:val="FootnoteReference"/>
        </w:rPr>
        <w:footnoteReference w:id="20"/>
      </w:r>
      <w:r>
        <w:t xml:space="preserve"> </w:t>
      </w:r>
      <w:r>
        <w:t xml:space="preserve">and slack lets a deferred third run on sidewalks and cuts instead of on payroll. Erickson and Long read the film as identity and place-myth.</w:t>
      </w:r>
      <w:r>
        <w:rPr>
          <w:rStyle w:val="FootnoteReference"/>
        </w:rPr>
        <w:footnoteReference w:id="21"/>
      </w:r>
      <w:r>
        <w:t xml:space="preserve"> </w:t>
      </w:r>
      <w:r>
        <w:t xml:space="preserve">If later audiences take that filmed past as their own, they meet Royce’s community of memory; the myth then does membership work, but it is not itself the sidewalk or the cut that coordinated the day.</w:t>
      </w:r>
    </w:p>
    <w:p>
      <w:pPr>
        <w:pStyle w:val="BodyText"/>
      </w:pPr>
      <w:r>
        <w:t xml:space="preserve">Digital platforms later fuse reach and selection in one apparatus, so a single system both holds users available and chooses who meets whom. The film keeps those functions apart, which is why it can teach the shape of platform sequencing before one machine fused them. Early on, the cut does most of the joining. A question about a missing friend carries the viewer into the next scene. A report that housemate Paul has vanished does the same, and closes with</w:t>
      </w:r>
      <w:r>
        <w:t xml:space="preserve"> </w:t>
      </w:r>
      <w:r>
        <w:t xml:space="preserve">“Why don’t you come look? It’s really weird.”</w:t>
      </w:r>
      <w:r>
        <w:t xml:space="preserve"> </w:t>
      </w:r>
      <w:r>
        <w:t xml:space="preserve">In the middle, characters take over the joins with things they can hand over and say aloud. They offer lifts and addresses. They have a van. They pass a stamp and a camera. By dawn the cut resumes, over a recorded voice and a hail into an empty street.</w:t>
      </w:r>
    </w:p>
    <w:p>
      <w:pPr>
        <w:pStyle w:val="BodyText"/>
      </w:pPr>
      <w:r>
        <w:t xml:space="preserve">For each of the thirty-four transitions, two coders asked whether anything audible crosses the seam, and whether an act aimed at another person produces the next encounter, agreeing on 82 percent and 91 percent of cases (Cohen’s κ = 0.75 and 0.84, chance-corrected agreement).</w:t>
      </w:r>
      <w:r>
        <w:rPr>
          <w:rStyle w:val="FootnoteReference"/>
        </w:rPr>
        <w:footnoteReference w:id="22"/>
      </w:r>
      <w:r>
        <w:t xml:space="preserve"> </w:t>
      </w:r>
      <w:r>
        <w:t xml:space="preserve">Fifteen or sixteen transitions carry an audible link; four or five are equivocal.</w:t>
      </w:r>
      <w:r>
        <w:rPr>
          <w:rStyle w:val="FootnoteReference"/>
        </w:rPr>
        <w:footnoteReference w:id="23"/>
      </w:r>
      <w:r>
        <w:t xml:space="preserve"> </w:t>
      </w:r>
      <w:r>
        <w:t xml:space="preserve">Of the first fifteen, four or five have a link; of the middle fifteen, eleven do; of the last four, the transcript shows none. Six transitions are deliberate in both codings, and five of those six fall in the middle third. Spoken handoffs include</w:t>
      </w:r>
      <w:r>
        <w:t xml:space="preserve"> </w:t>
      </w:r>
      <w:r>
        <w:t xml:space="preserve">“How about a lift back into town?,”</w:t>
      </w:r>
      <w:r>
        <w:t xml:space="preserve"> </w:t>
      </w:r>
      <w:r>
        <w:t xml:space="preserve">“The address, man. Take me there,”</w:t>
      </w:r>
      <w:r>
        <w:t xml:space="preserve"> </w:t>
      </w:r>
      <w:r>
        <w:t xml:space="preserve">“Do I have a car? I have a van,”</w:t>
      </w:r>
      <w:r>
        <w:t xml:space="preserve"> </w:t>
      </w:r>
      <w:r>
        <w:t xml:space="preserve">and, at the party,</w:t>
      </w:r>
      <w:r>
        <w:t xml:space="preserve"> </w:t>
      </w:r>
      <w:r>
        <w:t xml:space="preserve">“Shoot whatever you want. Pass it around … But I want my camera back, all right?”</w:t>
      </w:r>
      <w:r>
        <w:t xml:space="preserve"> </w:t>
      </w:r>
      <w:r>
        <w:t xml:space="preserve">When the cut joins scenes, there is nothing to hand over and no one to address. Selection continues while the handoff becomes unsayable. Reach still holds from first frame to last, but who does the joining shifts from character to cut, and the later stretch already looks like a feed.</w:t>
      </w:r>
    </w:p>
    <w:bookmarkEnd w:id="38"/>
    <w:bookmarkStart w:id="47" w:name="the-verb-arrives-2020"/>
    <w:p>
      <w:pPr>
        <w:pStyle w:val="Heading2"/>
      </w:pPr>
      <w:r>
        <w:t xml:space="preserve">6. The verb arrives (2020)</w:t>
      </w:r>
    </w:p>
    <w:p>
      <w:pPr>
        <w:pStyle w:val="FirstParagraph"/>
      </w:pPr>
      <w:r>
        <w:t xml:space="preserve">If platform coordination were only market, hierarchy, or network, then Steve at the door would be a customer, an employee, or a collaborator, and none of those labels fits what the door does to him. Markets coordinate by contract, hierarchies by command, networks by collaboration. Stark and Pais give a fourth verb: co-opt. In the triangular relationship of owner, provider, and user, platform owners co-opt the behavior of the other two sides, enrolling them in the practices of algorithmic management without anyone having delegated managerial authority to them.</w:t>
      </w:r>
      <w:r>
        <w:rPr>
          <w:rStyle w:val="FootnoteReference"/>
        </w:rPr>
        <w:footnoteReference w:id="1"/>
      </w:r>
      <w:r>
        <w:t xml:space="preserve"> </w:t>
      </w:r>
      <w:r>
        <w:t xml:space="preserve">That fourth classification had no named form in 1990; the enrollment it names already showed at the party and at the door.</w:t>
      </w:r>
    </w:p>
    <w:p>
      <w:pPr>
        <w:pStyle w:val="BodyText"/>
      </w:pPr>
      <w:r>
        <w:t xml:space="preserve">At the party a PixelVision camera, a toy video recorder whose tape can pass hand to hand, circulates among strangers. People join someone else’s project without anyone hiring them. They still speak the terms, and the man who wants the camera back can enforce them face to face. A licensing page keeps that same structure of contribution without employment, and removes the person to whom one could argue. Amazon’s Prime Video page says removed titles</w:t>
      </w:r>
      <w:r>
        <w:t xml:space="preserve"> </w:t>
      </w:r>
      <w:r>
        <w:t xml:space="preserve">“may not be resubmitted or appealed,”</w:t>
      </w:r>
      <w:r>
        <w:t xml:space="preserve"> </w:t>
      </w:r>
      <w:r>
        <w:t xml:space="preserve">that selection is at Prime Video’s sole discretion, and that the company</w:t>
      </w:r>
      <w:r>
        <w:t xml:space="preserve"> </w:t>
      </w:r>
      <w:r>
        <w:t xml:space="preserve">“cannot provide additional details about why any specific title was or was not selected.”</w:t>
      </w:r>
      <w:r>
        <w:rPr>
          <w:rStyle w:val="FootnoteReference"/>
        </w:rPr>
        <w:footnoteReference w:id="24"/>
      </w:r>
      <w:r>
        <w:t xml:space="preserve"> </w:t>
      </w:r>
      <w:r>
        <w:t xml:space="preserve">Prime Video issues a determination and withholds its grounds. On algorithmic feedback more generally, Stark and Pais note that parties can deflect and deny accountability. Prime Video judges live titles on engagement metrics and can remove weak performers. Rideshare Drivers United and the Asian Law Caucus surveyed 810 California drivers. Two-thirds reported deactivation, and 30 percent of those received no reason.</w:t>
      </w:r>
      <w:r>
        <w:rPr>
          <w:rStyle w:val="FootnoteReference"/>
        </w:rPr>
        <w:footnoteReference w:id="25"/>
      </w:r>
      <w:r>
        <w:t xml:space="preserve"> </w:t>
      </w:r>
      <w:r>
        <w:t xml:space="preserve">Drivers on the app, like people at the party, contribute without being hired. The difference is that the platform has removed the face that could answer, and no one at that party could have known the later institutional name for what they were doing.</w:t>
      </w:r>
    </w:p>
    <w:p>
      <w:pPr>
        <w:pStyle w:val="BodyText"/>
      </w:pPr>
      <w:r>
        <w:t xml:space="preserve">The city’s audible work already co-opts. Someone staffs the coordinating posts. The city holds people in reach without putting them on payroll. The powers that price, evaluate, and remove draw nightlife and attention into the day’s coordination without hiring the people the city holds. People enter the day’s coordination without employment. That is co-optation before anyone used the word.</w:t>
      </w:r>
    </w:p>
    <w:p>
      <w:pPr>
        <w:pStyle w:val="BodyText"/>
      </w:pPr>
      <w:r>
        <w:t xml:space="preserve">Not every electronic third is a platform of the</w:t>
      </w:r>
      <w:r>
        <w:t xml:space="preserve"> </w:t>
      </w:r>
      <w:r>
        <w:rPr>
          <w:i/>
          <w:iCs/>
        </w:rPr>
        <w:t xml:space="preserve">Slacker</w:t>
      </w:r>
      <w:r>
        <w:t xml:space="preserve"> </w:t>
      </w:r>
      <w:r>
        <w:t xml:space="preserve">kind, because intermediacy alone does not entail the power to withhold a reason. In the three years after the film’s release, the interdealer currency market—screens professional traders use to match one another—built Reuters Dealing 2000-2 and EBS.</w:t>
      </w:r>
      <w:r>
        <w:rPr>
          <w:rStyle w:val="FootnoteReference"/>
        </w:rPr>
        <w:footnoteReference w:id="26"/>
      </w:r>
      <w:r>
        <w:t xml:space="preserve"> </w:t>
      </w:r>
      <w:r>
        <w:t xml:space="preserve">Those venues are third parties in the strict sense, standing between traders without themselves buying or selling; they are not counterparties to the trades.</w:t>
      </w:r>
      <w:r>
        <w:rPr>
          <w:rStyle w:val="FootnoteReference"/>
        </w:rPr>
        <w:footnoteReference w:id="27"/>
      </w:r>
      <w:r>
        <w:t xml:space="preserve"> </w:t>
      </w:r>
      <w:r>
        <w:t xml:space="preserve">Liquidity concentrated on one venue per currency pair.</w:t>
      </w:r>
      <w:r>
        <w:rPr>
          <w:rStyle w:val="FootnoteReference"/>
        </w:rPr>
        <w:footnoteReference w:id="28"/>
      </w:r>
      <w:r>
        <w:t xml:space="preserve"> </w:t>
      </w:r>
      <w:r>
        <w:t xml:space="preserve">Dealers also traded directly, so the venues do not join people who would otherwise never meet. The same firm can owe written reasons under one rulebook and act in</w:t>
      </w:r>
      <w:r>
        <w:t xml:space="preserve"> </w:t>
      </w:r>
      <w:r>
        <w:t xml:space="preserve">“sole discretion”</w:t>
      </w:r>
      <w:r>
        <w:t xml:space="preserve"> </w:t>
      </w:r>
      <w:r>
        <w:t xml:space="preserve">under another.</w:t>
      </w:r>
      <w:r>
        <w:rPr>
          <w:rStyle w:val="FootnoteReference"/>
        </w:rPr>
        <w:footnoteReference w:id="29"/>
      </w:r>
      <w:r>
        <w:t xml:space="preserve"> </w:t>
      </w:r>
      <w:r>
        <w:t xml:space="preserve">The four powers therefore attach by rule, not by the mere fact of standing between people; digital platforms harden those attachments into default software and do not invent the underlying form.</w:t>
      </w:r>
    </w:p>
    <w:p>
      <w:pPr>
        <w:pStyle w:val="BodyText"/>
      </w:pPr>
      <w:r>
        <w:t xml:space="preserve">Some thirds sit between parties whom the law bars from dealing with each other. Formal models of that case ask a counterfactual: if someone lifted the ban, would coordination still need the third, or would direct dealing replace it?</w:t>
      </w:r>
      <w:r>
        <w:rPr>
          <w:rStyle w:val="FootnoteReference"/>
        </w:rPr>
        <w:footnoteReference w:id="30"/>
      </w:r>
      <w:r>
        <w:t xml:space="preserve"> </w:t>
      </w:r>
      <w:r>
        <w:t xml:space="preserve">The deferred third has no such test. Nobody ever banned its neighbors from meeting; they simply never met, which is why the counterfactual that classifies banned-edge intermediaries cannot classify Austin’s sidewalk or the film’s cut.</w:t>
      </w:r>
    </w:p>
    <w:bookmarkEnd w:id="47"/>
    <w:bookmarkStart w:id="48" w:name="what-the-interval-still-shows"/>
    <w:p>
      <w:pPr>
        <w:pStyle w:val="Heading2"/>
      </w:pPr>
      <w:r>
        <w:t xml:space="preserve">7. What the interval still shows</w:t>
      </w:r>
    </w:p>
    <w:p>
      <w:pPr>
        <w:pStyle w:val="FirstParagraph"/>
      </w:pPr>
      <w:r>
        <w:t xml:space="preserve">Royce’s demand for loyalty blocks any easy equation of platform with community. Loyalty, for him, is devotion that makes a shared past</w:t>
      </w:r>
      <w:r>
        <w:t xml:space="preserve"> </w:t>
      </w:r>
      <w:r>
        <w:rPr>
          <w:i/>
          <w:iCs/>
        </w:rPr>
        <w:t xml:space="preserve">mine</w:t>
      </w:r>
      <w:r>
        <w:t xml:space="preserve">. The member owns that past as part of the self. It is not merely a fact that happens to be true of someone. A platform can meet his memory conditions, because it keeps logs of shared past events, and still fail the loyalty demand, because shared logs are not devotion. On screen, people show little devotion to a calling. One man will take a job</w:t>
      </w:r>
      <w:r>
        <w:t xml:space="preserve"> </w:t>
      </w:r>
      <w:r>
        <w:t xml:space="preserve">“when I hear the true call”</w:t>
      </w:r>
      <w:r>
        <w:t xml:space="preserve"> </w:t>
      </w:r>
      <w:r>
        <w:t xml:space="preserve">and will not say what that is. Royce’s memory community needs selves that extend past the present, communication among contemporaries, and shared past events that each member takes as part of a life. A platform meets all three more securely than a city, because it keeps the record permanently. The film’s people share a day and a city without claiming that past as loyalty. Users who share logs and ratings they did not author share a recorded past, not a life they take as their own.</w:t>
      </w:r>
    </w:p>
    <w:p>
      <w:pPr>
        <w:pStyle w:val="BodyText"/>
      </w:pPr>
      <w:r>
        <w:t xml:space="preserve">The permanent record changes custody. The man surrounded by televisions says,</w:t>
      </w:r>
      <w:r>
        <w:t xml:space="preserve"> </w:t>
      </w:r>
      <w:r>
        <w:t xml:space="preserve">“I have no reference to it now. I can’t refer back to it. I can’t press rewind. I can’t put it on pause.”</w:t>
      </w:r>
      <w:r>
        <w:t xml:space="preserve"> </w:t>
      </w:r>
      <w:r>
        <w:t xml:space="preserve">A driver cannot replay an allocation once the queue has moved. The platform keeps the past that members once kept themselves, and the film names that problem as the loss of rewind. Automated assignment changes assent. A guest list fails in public—</w:t>
      </w:r>
      <w:r>
        <w:t xml:space="preserve">“Fuck. I’m not on the list.”</w:t>
      </w:r>
      <w:r>
        <w:t xml:space="preserve"> </w:t>
      </w:r>
      <w:r>
        <w:t xml:space="preserve">“Figures.”</w:t>
      </w:r>
      <w:r>
        <w:t xml:space="preserve">—and the group renegotiates on the sidewalk, so refusal still requires a spoken response. An app assigns a queue spot whether or not the driver assents; he remains subject to star ratings either way. Membership here does not wait for his yes. Loyalty shows up outside the platform. Rideshare Drivers United and the Asian Law Caucus organized the survey. 810 drivers answered it. That shared work answers a third that will not explain itself.</w:t>
      </w:r>
    </w:p>
    <w:p>
      <w:pPr>
        <w:pStyle w:val="BodyText"/>
      </w:pPr>
      <w:r>
        <w:t xml:space="preserve">Today’s platforms gather into one system the parts</w:t>
      </w:r>
      <w:r>
        <w:t xml:space="preserve"> </w:t>
      </w:r>
      <w:r>
        <w:rPr>
          <w:i/>
          <w:iCs/>
        </w:rPr>
        <w:t xml:space="preserve">Slacker</w:t>
      </w:r>
      <w:r>
        <w:t xml:space="preserve"> </w:t>
      </w:r>
      <w:r>
        <w:t xml:space="preserve">still keeps separate and speakable. They fuse reach with selection, hold access as grants backed by the four powers, and enroll people without leaving a face to answer. A scroll of loosely linked units, with something else deciding the sequence elsewhere, is what remains of a city and a cut once people can no longer say the handoffs aloud. Placing the film between Reich and Stark shows grant-access and deferred structure before the later verb, before the fused apparatus, and before the literacy that life inside opaque determinations later requires.</w:t>
      </w:r>
    </w:p>
    <w:bookmarkEnd w:id="48"/>
    <w:bookmarkStart w:id="50" w:name="algorithmacy"/>
    <w:p>
      <w:pPr>
        <w:pStyle w:val="Heading2"/>
      </w:pPr>
      <w:r>
        <w:t xml:space="preserve">8. Algorithmacy</w:t>
      </w:r>
    </w:p>
    <w:p>
      <w:pPr>
        <w:pStyle w:val="FirstParagraph"/>
      </w:pPr>
      <w:r>
        <w:t xml:space="preserve">Algorithmacy is the name I give to fluency in dealing with an algorithmic third that interprets both sides and issues determinations neither side controls.</w:t>
      </w:r>
      <w:r>
        <w:rPr>
          <w:rStyle w:val="FootnoteReference"/>
        </w:rPr>
        <w:footnoteReference w:id="31"/>
      </w:r>
      <w:r>
        <w:t xml:space="preserve"> </w:t>
      </w:r>
      <w:r>
        <w:t xml:space="preserve">Simmel, Royce, Reich, and Stark and Pais describe structure, membership, grant-access, and co-optive enrollment. None of them names the competence those arrangements demand of ordinary people once reasons stop arriving with the determinations.</w:t>
      </w:r>
    </w:p>
    <w:p>
      <w:pPr>
        <w:pStyle w:val="BodyText"/>
      </w:pPr>
      <w:r>
        <w:t xml:space="preserve">Writing is the historical analogy. Populations did not become fluent with written institutions in the same generation that writing technologies spread; fluency lagged by generations.</w:t>
      </w:r>
      <w:r>
        <w:t xml:space="preserve"> </w:t>
      </w:r>
      <w:r>
        <w:rPr>
          <w:i/>
          <w:iCs/>
        </w:rPr>
        <w:t xml:space="preserve">Slacker</w:t>
      </w:r>
      <w:r>
        <w:t xml:space="preserve"> </w:t>
      </w:r>
      <w:r>
        <w:t xml:space="preserve">is early in the corresponding lag for platforms. People on screen still handle thirds they can speak. Someone names a cover aloud. Someone shows a stamp. Someone spells a name to the person holding the list. The camera already works like a feed. The next encounter often arrives with nothing audible crossing the seam. They still know how to argue with a door. They do not yet know how to live inside determinations that arrive without reasons. Algorithmacy names that later fluency. It is how people deal with a third that interprets both sides when the reasons may never come.</w:t>
      </w:r>
    </w:p>
    <w:p>
      <w:pPr>
        <w:pStyle w:val="BodyText"/>
      </w:pPr>
      <w:r>
        <w:t xml:space="preserve">At the last door the doorman states the rule out loud and empties the room into the street, where people keep talking.</w:t>
      </w:r>
    </w:p>
    <w:bookmarkEnd w:id="50"/>
    <w:bookmarkStart w:id="51" w:name="bibliography"/>
    <w:p>
      <w:pPr>
        <w:pStyle w:val="Heading2"/>
      </w:pPr>
      <w:r>
        <w:t xml:space="preserve">Bibliography</w:t>
      </w:r>
    </w:p>
    <w:p>
      <w:pPr>
        <w:pStyle w:val="FirstParagraph"/>
        <w:spacing w:line="480" w:lineRule="auto"/>
        <w:ind w:hanging="720" w:left="720"/>
      </w:pPr>
      <w:r>
        <w:t xml:space="preserve">Amazon.com, Inc. </w:t>
      </w:r>
      <w:r>
        <w:t xml:space="preserve">“Prime Video Direct Content Providers: Licensing Consideration and Title Review.”</w:t>
      </w:r>
      <w:r>
        <w:t xml:space="preserve"> </w:t>
      </w:r>
      <w:r>
        <w:t xml:space="preserve">Prime Video Tech Docs. Last updated August 5, 2025. Accessed August 1, 2026.</w:t>
      </w:r>
    </w:p>
    <w:p>
      <w:pPr>
        <w:pStyle w:val="BodyText"/>
        <w:spacing w:line="480" w:lineRule="auto"/>
        <w:ind w:hanging="720" w:left="720"/>
      </w:pPr>
      <w:r>
        <w:t xml:space="preserve">Bank for International Settlements.</w:t>
      </w:r>
      <w:r>
        <w:t xml:space="preserve"> </w:t>
      </w:r>
      <w:r>
        <w:rPr>
          <w:i/>
          <w:iCs/>
        </w:rPr>
        <w:t xml:space="preserve">Quarterly Review</w:t>
      </w:r>
      <w:r>
        <w:t xml:space="preserve">. Basel: BIS, December 2019.</w:t>
      </w:r>
    </w:p>
    <w:p>
      <w:pPr>
        <w:pStyle w:val="BodyText"/>
        <w:spacing w:line="480" w:lineRule="auto"/>
        <w:ind w:hanging="720" w:left="720"/>
      </w:pPr>
      <w:r>
        <w:t xml:space="preserve">Busch, Andrew M.</w:t>
      </w:r>
      <w:r>
        <w:t xml:space="preserve"> </w:t>
      </w:r>
      <w:r>
        <w:t xml:space="preserve">“Whose</w:t>
      </w:r>
      <w:r>
        <w:t xml:space="preserve"> </w:t>
      </w:r>
      <w:r>
        <w:t xml:space="preserve">‘Sense of Place’</w:t>
      </w:r>
      <w:r>
        <w:t xml:space="preserve">? Topophilia, the Grassroots, and Urbanization in Austin, Texas.”</w:t>
      </w:r>
      <w:r>
        <w:t xml:space="preserve"> </w:t>
      </w:r>
      <w:r>
        <w:rPr>
          <w:i/>
          <w:iCs/>
        </w:rPr>
        <w:t xml:space="preserve">American Quarterly</w:t>
      </w:r>
      <w:r>
        <w:t xml:space="preserve"> </w:t>
      </w:r>
      <w:r>
        <w:t xml:space="preserve">63, no. 2 (2011): 399–408.</w:t>
      </w:r>
    </w:p>
    <w:p>
      <w:pPr>
        <w:pStyle w:val="BodyText"/>
        <w:spacing w:line="480" w:lineRule="auto"/>
        <w:ind w:hanging="720" w:left="720"/>
      </w:pPr>
      <w:r>
        <w:t xml:space="preserve">Erickson, Mary P.</w:t>
      </w:r>
      <w:r>
        <w:t xml:space="preserve"> </w:t>
      </w:r>
      <w:r>
        <w:t xml:space="preserve">“</w:t>
      </w:r>
      <w:r>
        <w:t xml:space="preserve">‘I Think I Still Qualify as a Slacker … Just One That’s Currently Lucky’</w:t>
      </w:r>
      <w:r>
        <w:t xml:space="preserve">: The Myths of</w:t>
      </w:r>
      <w:r>
        <w:t xml:space="preserve"> </w:t>
      </w:r>
      <w:r>
        <w:rPr>
          <w:i/>
          <w:iCs/>
        </w:rPr>
        <w:t xml:space="preserve">Slacker</w:t>
      </w:r>
      <w:r>
        <w:t xml:space="preserve">, Austin, and Richard Linklater.”</w:t>
      </w:r>
      <w:r>
        <w:t xml:space="preserve"> </w:t>
      </w:r>
      <w:r>
        <w:t xml:space="preserve">In</w:t>
      </w:r>
      <w:r>
        <w:t xml:space="preserve"> </w:t>
      </w:r>
      <w:r>
        <w:rPr>
          <w:i/>
          <w:iCs/>
        </w:rPr>
        <w:t xml:space="preserve">ReFocus: The Films of Richard Linklater</w:t>
      </w:r>
      <w:r>
        <w:t xml:space="preserve">, edited by Kim Wilkins and Timotheus Vermeulen, 15–33. Edinburgh: Edinburgh University Press, 2022.</w:t>
      </w:r>
    </w:p>
    <w:p>
      <w:pPr>
        <w:pStyle w:val="BodyText"/>
        <w:spacing w:line="480" w:lineRule="auto"/>
        <w:ind w:hanging="720" w:left="720"/>
      </w:pPr>
      <w:r>
        <w:t xml:space="preserve">Foreign Exchange Committee, Federal Reserve Bank of New York.</w:t>
      </w:r>
      <w:r>
        <w:t xml:space="preserve"> </w:t>
      </w:r>
      <w:r>
        <w:rPr>
          <w:i/>
          <w:iCs/>
        </w:rPr>
        <w:t xml:space="preserve">Annual Report 1991</w:t>
      </w:r>
      <w:r>
        <w:t xml:space="preserve">. New York: Federal Reserve Bank of New York, 1992.</w:t>
      </w:r>
    </w:p>
    <w:p>
      <w:pPr>
        <w:pStyle w:val="BodyText"/>
        <w:spacing w:line="480" w:lineRule="auto"/>
        <w:ind w:hanging="720" w:left="720"/>
      </w:pPr>
      <w:r>
        <w:t xml:space="preserve">Global Foreign Exchange Committee.</w:t>
      </w:r>
      <w:r>
        <w:t xml:space="preserve"> </w:t>
      </w:r>
      <w:r>
        <w:rPr>
          <w:i/>
          <w:iCs/>
        </w:rPr>
        <w:t xml:space="preserve">FX Global Code</w:t>
      </w:r>
      <w:r>
        <w:t xml:space="preserve">. Updated December 2024.</w:t>
      </w:r>
    </w:p>
    <w:p>
      <w:pPr>
        <w:pStyle w:val="BodyText"/>
        <w:spacing w:line="480" w:lineRule="auto"/>
        <w:ind w:hanging="720" w:left="720"/>
      </w:pPr>
      <w:r>
        <w:t xml:space="preserve">Long, Joshua.</w:t>
      </w:r>
      <w:r>
        <w:t xml:space="preserve"> </w:t>
      </w:r>
      <w:r>
        <w:rPr>
          <w:i/>
          <w:iCs/>
        </w:rPr>
        <w:t xml:space="preserve">Weird City: Sense of Place and Creative Resistance in Austin, Texas</w:t>
      </w:r>
      <w:r>
        <w:t xml:space="preserve">. Austin: University of Texas Press, 2010.</w:t>
      </w:r>
    </w:p>
    <w:p>
      <w:pPr>
        <w:pStyle w:val="BodyText"/>
        <w:spacing w:line="480" w:lineRule="auto"/>
        <w:ind w:hanging="720" w:left="720"/>
      </w:pPr>
      <w:r>
        <w:t xml:space="preserve">LSEG.</w:t>
      </w:r>
      <w:r>
        <w:t xml:space="preserve"> </w:t>
      </w:r>
      <w:r>
        <w:rPr>
          <w:i/>
          <w:iCs/>
        </w:rPr>
        <w:t xml:space="preserve">LSEG FX SEF Rulebook</w:t>
      </w:r>
      <w:r>
        <w:t xml:space="preserve">. Version 4.1, effective August 11, 2026.</w:t>
      </w:r>
    </w:p>
    <w:p>
      <w:pPr>
        <w:pStyle w:val="BodyText"/>
        <w:spacing w:line="480" w:lineRule="auto"/>
        <w:ind w:hanging="720" w:left="720"/>
      </w:pPr>
      <w:r>
        <w:t xml:space="preserve">———.</w:t>
      </w:r>
      <w:r>
        <w:t xml:space="preserve"> </w:t>
      </w:r>
      <w:r>
        <w:rPr>
          <w:i/>
          <w:iCs/>
        </w:rPr>
        <w:t xml:space="preserve">LSEG FX UK MTF Rule Book</w:t>
      </w:r>
      <w:r>
        <w:t xml:space="preserve">. Version 1.2, effective December 1, 2025.</w:t>
      </w:r>
    </w:p>
    <w:p>
      <w:pPr>
        <w:pStyle w:val="BodyText"/>
        <w:spacing w:line="480" w:lineRule="auto"/>
        <w:ind w:hanging="720" w:left="720"/>
      </w:pPr>
      <w:r>
        <w:t xml:space="preserve">Reich, Charles A.</w:t>
      </w:r>
      <w:r>
        <w:t xml:space="preserve"> </w:t>
      </w:r>
      <w:r>
        <w:t xml:space="preserve">“The New Property.”</w:t>
      </w:r>
      <w:r>
        <w:t xml:space="preserve"> </w:t>
      </w:r>
      <w:r>
        <w:rPr>
          <w:i/>
          <w:iCs/>
        </w:rPr>
        <w:t xml:space="preserve">The Yale Law Journal</w:t>
      </w:r>
      <w:r>
        <w:t xml:space="preserve"> </w:t>
      </w:r>
      <w:r>
        <w:t xml:space="preserve">73, no. 5 (1964): 733–787.</w:t>
      </w:r>
    </w:p>
    <w:p>
      <w:pPr>
        <w:pStyle w:val="BodyText"/>
        <w:spacing w:line="480" w:lineRule="auto"/>
        <w:ind w:hanging="720" w:left="720"/>
      </w:pPr>
      <w:r>
        <w:t xml:space="preserve">Rideshare Drivers United and Asian Law Caucus.</w:t>
      </w:r>
      <w:r>
        <w:t xml:space="preserve"> </w:t>
      </w:r>
      <w:r>
        <w:rPr>
          <w:i/>
          <w:iCs/>
        </w:rPr>
        <w:t xml:space="preserve">Fired by an App: The Toll of Secret Algorithms and Unchecked Discrimination on California Rideshare Drivers</w:t>
      </w:r>
      <w:r>
        <w:t xml:space="preserve">. February 2023.</w:t>
      </w:r>
    </w:p>
    <w:p>
      <w:pPr>
        <w:pStyle w:val="BodyText"/>
        <w:spacing w:line="480" w:lineRule="auto"/>
        <w:ind w:hanging="720" w:left="720"/>
      </w:pPr>
      <w:r>
        <w:t xml:space="preserve">Royce, Josiah.</w:t>
      </w:r>
      <w:r>
        <w:t xml:space="preserve"> </w:t>
      </w:r>
      <w:r>
        <w:rPr>
          <w:i/>
          <w:iCs/>
        </w:rPr>
        <w:t xml:space="preserve">The Problem of Christianity</w:t>
      </w:r>
      <w:r>
        <w:t xml:space="preserve">. 2 vols. New York: Macmillan, 1913. Reprinted in one volume, Chicago: University of Chicago Press, 1968.</w:t>
      </w:r>
    </w:p>
    <w:p>
      <w:pPr>
        <w:pStyle w:val="BodyText"/>
        <w:spacing w:line="480" w:lineRule="auto"/>
        <w:ind w:hanging="720" w:left="720"/>
      </w:pPr>
      <w:r>
        <w:t xml:space="preserve">Simmel, Georg.</w:t>
      </w:r>
      <w:r>
        <w:t xml:space="preserve"> </w:t>
      </w:r>
      <w:r>
        <w:rPr>
          <w:i/>
          <w:iCs/>
        </w:rPr>
        <w:t xml:space="preserve">The Sociology of Georg Simmel</w:t>
      </w:r>
      <w:r>
        <w:t xml:space="preserve">. Translated and edited by Kurt H. Wolff. Glencoe, IL: The Free Press, 1950. Originally published as</w:t>
      </w:r>
      <w:r>
        <w:t xml:space="preserve"> </w:t>
      </w:r>
      <w:r>
        <w:rPr>
          <w:i/>
          <w:iCs/>
        </w:rPr>
        <w:t xml:space="preserve">Soziologie</w:t>
      </w:r>
      <w:r>
        <w:t xml:space="preserve"> </w:t>
      </w:r>
      <w:r>
        <w:t xml:space="preserve">(Leipzig: Duncker &amp; Humblot, 1908).</w:t>
      </w:r>
    </w:p>
    <w:p>
      <w:pPr>
        <w:pStyle w:val="BodyText"/>
        <w:spacing w:line="480" w:lineRule="auto"/>
        <w:ind w:hanging="720" w:left="720"/>
      </w:pPr>
      <w:r>
        <w:t xml:space="preserve">Stark, David, and Ivana Pais.</w:t>
      </w:r>
      <w:r>
        <w:t xml:space="preserve"> </w:t>
      </w:r>
      <w:r>
        <w:t xml:space="preserve">“Algorithmic Management in the Platform Economy.”</w:t>
      </w:r>
      <w:r>
        <w:t xml:space="preserve"> </w:t>
      </w:r>
      <w:r>
        <w:rPr>
          <w:i/>
          <w:iCs/>
        </w:rPr>
        <w:t xml:space="preserve">Sociologica</w:t>
      </w:r>
      <w:r>
        <w:t xml:space="preserve"> </w:t>
      </w:r>
      <w:r>
        <w:t xml:space="preserve">14, no. 3 (2020): 47–72.</w:t>
      </w:r>
    </w:p>
    <w:p>
      <w:pPr>
        <w:pStyle w:val="BodyText"/>
        <w:spacing w:line="480" w:lineRule="auto"/>
        <w:ind w:hanging="720" w:left="720"/>
      </w:pPr>
      <w:r>
        <w:t xml:space="preserve">U.S. Bureau of the Census.</w:t>
      </w:r>
      <w:r>
        <w:t xml:space="preserve"> </w:t>
      </w:r>
      <w:r>
        <w:rPr>
          <w:i/>
          <w:iCs/>
        </w:rPr>
        <w:t xml:space="preserve">1990 Census of Housing, General Housing Characteristics: Texas</w:t>
      </w:r>
      <w:r>
        <w:t xml:space="preserve">. 1990 CH-1-45. Washington, DC: GPO, 1991.</w:t>
      </w:r>
    </w:p>
    <w:p>
      <w:pPr>
        <w:pStyle w:val="BodyText"/>
        <w:spacing w:line="480" w:lineRule="auto"/>
        <w:ind w:hanging="720" w:left="720"/>
      </w:pPr>
      <w:r>
        <w:t xml:space="preserve">———.</w:t>
      </w:r>
      <w:r>
        <w:t xml:space="preserve"> </w:t>
      </w:r>
      <w:r>
        <w:rPr>
          <w:i/>
          <w:iCs/>
        </w:rPr>
        <w:t xml:space="preserve">1990 Census of Population and Housing, Population and Housing Unit Counts: Texas</w:t>
      </w:r>
      <w:r>
        <w:t xml:space="preserve">. 1990 CPH-2-45. Washington, DC: GPO, 1993.</w:t>
      </w:r>
    </w:p>
    <w:p>
      <w:pPr>
        <w:pStyle w:val="BodyText"/>
        <w:spacing w:line="480" w:lineRule="auto"/>
        <w:ind w:hanging="720" w:left="720"/>
      </w:pPr>
      <w:r>
        <w:t xml:space="preserve">U.S. Department of Education, National Center for Education Statistics. IPEDS Fall Enrollment 1989, file EF1989_A.</w:t>
      </w:r>
    </w:p>
    <w:bookmarkEnd w:id="51"/>
    <w:bookmarkEnd w:id="52"/>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
    <w:p>
      <w:pPr>
        <w:pStyle w:val="FootnoteText"/>
      </w:pPr>
      <w:r>
        <w:rPr>
          <w:rStyle w:val="FootnoteReference"/>
        </w:rPr>
        <w:footnoteRef/>
      </w:r>
      <w:r>
        <w:t xml:space="preserve"> </w:t>
      </w:r>
      <w:r>
        <w:t xml:space="preserve">David Stark and Ivana Pais,</w:t>
      </w:r>
      <w:r>
        <w:t xml:space="preserve"> </w:t>
      </w:r>
      <w:r>
        <w:t xml:space="preserve">“Algorithmic Management in the Platform Economy,”</w:t>
      </w:r>
      <w:r>
        <w:t xml:space="preserve"> </w:t>
      </w:r>
      <w:r>
        <w:rPr>
          <w:i/>
          <w:iCs/>
        </w:rPr>
        <w:t xml:space="preserve">Sociologica</w:t>
      </w:r>
      <w:r>
        <w:t xml:space="preserve"> </w:t>
      </w:r>
      <w:r>
        <w:t xml:space="preserve">14, no. 3 (2020): 47–72, at 48 and 49:</w:t>
      </w:r>
      <w:r>
        <w:t xml:space="preserve"> </w:t>
      </w:r>
      <w:r>
        <w:t xml:space="preserve">“whereas for markets the verb is contract, the verb for hierarchy is command, and for networks it is collaborate. By contrast, platforms co-opt,”</w:t>
      </w:r>
      <w:r>
        <w:t xml:space="preserve"> </w:t>
      </w:r>
      <w:r>
        <w:t xml:space="preserve">and</w:t>
      </w:r>
      <w:r>
        <w:t xml:space="preserve"> </w:t>
      </w:r>
      <w:r>
        <w:t xml:space="preserve">“platform owners co-opt the behavior of providers and users, enrolling them in the practices of algorithmic management without managerial authority having been delegated to them.”</w:t>
      </w:r>
    </w:p>
  </w:footnote>
  <w:footnote w:id="2">
    <w:p>
      <w:pPr>
        <w:pStyle w:val="FootnoteText"/>
      </w:pPr>
      <w:r>
        <w:rPr>
          <w:rStyle w:val="FootnoteReference"/>
        </w:rPr>
        <w:footnoteRef/>
      </w:r>
      <w:r>
        <w:t xml:space="preserve"> </w:t>
      </w:r>
      <w:r>
        <w:t xml:space="preserve">Georg Simmel,</w:t>
      </w:r>
      <w:r>
        <w:t xml:space="preserve"> </w:t>
      </w:r>
      <w:r>
        <w:rPr>
          <w:i/>
          <w:iCs/>
        </w:rPr>
        <w:t xml:space="preserve">The Sociology of Georg Simmel</w:t>
      </w:r>
      <w:r>
        <w:t xml:space="preserve">, trans. and ed. Kurt H. Wolff (Glencoe, IL: The Free Press, 1950).</w:t>
      </w:r>
      <w:r>
        <w:t xml:space="preserve"> </w:t>
      </w:r>
      <w:r>
        <w:t xml:space="preserve">“The Triad”</w:t>
      </w:r>
      <w:r>
        <w:t xml:space="preserve"> </w:t>
      </w:r>
      <w:r>
        <w:t xml:space="preserve">is chapter IV, 145–169: the non-partisan and the mediator at 145–47, the</w:t>
      </w:r>
      <w:r>
        <w:t xml:space="preserve"> </w:t>
      </w:r>
      <w:r>
        <w:rPr>
          <w:i/>
          <w:iCs/>
        </w:rPr>
        <w:t xml:space="preserve">tertius gaudens</w:t>
      </w:r>
      <w:r>
        <w:t xml:space="preserve"> </w:t>
      </w:r>
      <w:r>
        <w:t xml:space="preserve">at 154–62,</w:t>
      </w:r>
      <w:r>
        <w:t xml:space="preserve"> </w:t>
      </w:r>
      <w:r>
        <w:rPr>
          <w:i/>
          <w:iCs/>
        </w:rPr>
        <w:t xml:space="preserve">divide et impera</w:t>
      </w:r>
      <w:r>
        <w:t xml:space="preserve"> </w:t>
      </w:r>
      <w:r>
        <w:t xml:space="preserve">at 162, with the prohibition example at 163–64.</w:t>
      </w:r>
    </w:p>
  </w:footnote>
  <w:footnote w:id="3">
    <w:p>
      <w:pPr>
        <w:pStyle w:val="FootnoteText"/>
      </w:pPr>
      <w:r>
        <w:rPr>
          <w:rStyle w:val="FootnoteReference"/>
        </w:rPr>
        <w:footnoteRef/>
      </w:r>
      <w:r>
        <w:t xml:space="preserve"> </w:t>
      </w:r>
      <w:r>
        <w:t xml:space="preserve">Simmel,</w:t>
      </w:r>
      <w:r>
        <w:t xml:space="preserve"> </w:t>
      </w:r>
      <w:r>
        <w:rPr>
          <w:i/>
          <w:iCs/>
        </w:rPr>
        <w:t xml:space="preserve">Sociology</w:t>
      </w:r>
      <w:r>
        <w:t xml:space="preserve">, 145. Wolff’s wording quoted in the text; the German original is</w:t>
      </w:r>
      <w:r>
        <w:t xml:space="preserve"> </w:t>
      </w:r>
      <w:r>
        <w:rPr>
          <w:i/>
          <w:iCs/>
        </w:rPr>
        <w:t xml:space="preserve">Soziologie</w:t>
      </w:r>
      <w:r>
        <w:t xml:space="preserve"> </w:t>
      </w:r>
      <w:r>
        <w:t xml:space="preserve">(Leipzig: Duncker &amp; Humblot, 1908), chap. 2, p. 103.</w:t>
      </w:r>
      <w:r>
        <w:t xml:space="preserve"> </w:t>
      </w:r>
      <w:r>
        <w:rPr>
          <w:i/>
          <w:iCs/>
        </w:rPr>
        <w:t xml:space="preserve">Behandeln</w:t>
      </w:r>
      <w:r>
        <w:t xml:space="preserve"> </w:t>
      </w:r>
      <w:r>
        <w:t xml:space="preserve">is still-to-be-treated, not dismissed. Simmel’s stated reason for setting the case aside is the distance between the third element and the other two, and the absence of properly sociological interactions among all three alike.</w:t>
      </w:r>
    </w:p>
  </w:footnote>
  <w:footnote w:id="4">
    <w:p>
      <w:pPr>
        <w:pStyle w:val="FootnoteText"/>
      </w:pPr>
      <w:r>
        <w:rPr>
          <w:rStyle w:val="FootnoteReference"/>
        </w:rPr>
        <w:footnoteRef/>
      </w:r>
      <w:r>
        <w:t xml:space="preserve"> </w:t>
      </w:r>
      <w:r>
        <w:t xml:space="preserve">Dialogue throughout this chapter is quoted from the film’s subtitle track, via a subtitle-derived transcript carrying dialogue only and no speaker names. Subtitles compress and paraphrase, and no quotation here has yet been confirmed against the Criterion disc; six candidate lines whose wording or placement the project’s records dispute are withheld from quotation entirely. Segment numbers follow my division of the film into thirty-five segments, thirty-four of which carry dialogue.</w:t>
      </w:r>
      <w:r>
        <w:t xml:space="preserve"> </w:t>
      </w:r>
      <w:r>
        <w:rPr>
          <w:i/>
          <w:iCs/>
        </w:rPr>
        <w:t xml:space="preserve">Slacker</w:t>
      </w:r>
      <w:r>
        <w:t xml:space="preserve">, directed by Richard Linklater (Austin, TX: Detour Filmproduction, 1990; distributed by Orion Classics, 1991).</w:t>
      </w:r>
    </w:p>
  </w:footnote>
  <w:footnote w:id="5">
    <w:p>
      <w:pPr>
        <w:pStyle w:val="FootnoteText"/>
      </w:pPr>
      <w:r>
        <w:rPr>
          <w:rStyle w:val="FootnoteReference"/>
        </w:rPr>
        <w:footnoteRef/>
      </w:r>
      <w:r>
        <w:t xml:space="preserve"> </w:t>
      </w:r>
      <w:r>
        <w:t xml:space="preserve">Josiah Royce,</w:t>
      </w:r>
      <w:r>
        <w:t xml:space="preserve"> </w:t>
      </w:r>
      <w:r>
        <w:rPr>
          <w:i/>
          <w:iCs/>
        </w:rPr>
        <w:t xml:space="preserve">The Problem of Christianity</w:t>
      </w:r>
      <w:r>
        <w:t xml:space="preserve"> </w:t>
      </w:r>
      <w:r>
        <w:t xml:space="preserve">(New York: Macmillan, 1913), 2:50 for the community of memory and 2:51 for the community of expectation; in the one-volume reset (Chicago: University of Chicago Press, 1968), 248 for both. Royce’s three constituting conditions are at 2:60–61, 2:67, and 2:68 (1968: 253, 255, 256).</w:t>
      </w:r>
    </w:p>
  </w:footnote>
  <w:footnote w:id="6">
    <w:p>
      <w:pPr>
        <w:pStyle w:val="FootnoteText"/>
      </w:pPr>
      <w:r>
        <w:rPr>
          <w:rStyle w:val="FootnoteReference"/>
        </w:rPr>
        <w:footnoteRef/>
      </w:r>
      <w:r>
        <w:t xml:space="preserve"> </w:t>
      </w:r>
      <w:r>
        <w:t xml:space="preserve">Royce,</w:t>
      </w:r>
      <w:r>
        <w:t xml:space="preserve"> </w:t>
      </w:r>
      <w:r>
        <w:rPr>
          <w:i/>
          <w:iCs/>
        </w:rPr>
        <w:t xml:space="preserve">Problem of Christianity</w:t>
      </w:r>
      <w:r>
        <w:t xml:space="preserve">, 2:46 (1968: 247).</w:t>
      </w:r>
    </w:p>
  </w:footnote>
  <w:footnote w:id="7">
    <w:p>
      <w:pPr>
        <w:pStyle w:val="FootnoteText"/>
      </w:pPr>
      <w:r>
        <w:rPr>
          <w:rStyle w:val="FootnoteReference"/>
        </w:rPr>
        <w:footnoteRef/>
      </w:r>
      <w:r>
        <w:t xml:space="preserve"> </w:t>
      </w:r>
      <w:r>
        <w:t xml:space="preserve">Royce,</w:t>
      </w:r>
      <w:r>
        <w:t xml:space="preserve"> </w:t>
      </w:r>
      <w:r>
        <w:rPr>
          <w:i/>
          <w:iCs/>
        </w:rPr>
        <w:t xml:space="preserve">Problem of Christianity</w:t>
      </w:r>
      <w:r>
        <w:t xml:space="preserve">, 2:140 (1968: 286). The three terms are named at 2:142 (1968: 287): the interpreter, the object interpreted, and the person addressed. Royce credits the thesis to Peirce on the page.</w:t>
      </w:r>
    </w:p>
  </w:footnote>
  <w:footnote w:id="8">
    <w:p>
      <w:pPr>
        <w:pStyle w:val="FootnoteText"/>
      </w:pPr>
      <w:r>
        <w:rPr>
          <w:rStyle w:val="FootnoteReference"/>
        </w:rPr>
        <w:footnoteRef/>
      </w:r>
      <w:r>
        <w:t xml:space="preserve"> </w:t>
      </w:r>
      <w:r>
        <w:t xml:space="preserve">Royce,</w:t>
      </w:r>
      <w:r>
        <w:t xml:space="preserve"> </w:t>
      </w:r>
      <w:r>
        <w:rPr>
          <w:i/>
          <w:iCs/>
        </w:rPr>
        <w:t xml:space="preserve">Problem of Christianity</w:t>
      </w:r>
      <w:r>
        <w:t xml:space="preserve">, 2:124 (1968: 279); the flat statement of the same point is at 2:188 (1968: 306).</w:t>
      </w:r>
    </w:p>
  </w:footnote>
  <w:footnote w:id="9">
    <w:p>
      <w:pPr>
        <w:pStyle w:val="FootnoteText"/>
      </w:pPr>
      <w:r>
        <w:rPr>
          <w:rStyle w:val="FootnoteReference"/>
        </w:rPr>
        <w:footnoteRef/>
      </w:r>
      <w:r>
        <w:t xml:space="preserve"> </w:t>
      </w:r>
      <w:r>
        <w:t xml:space="preserve">Royce,</w:t>
      </w:r>
      <w:r>
        <w:t xml:space="preserve"> </w:t>
      </w:r>
      <w:r>
        <w:rPr>
          <w:i/>
          <w:iCs/>
        </w:rPr>
        <w:t xml:space="preserve">Problem of Christianity</w:t>
      </w:r>
      <w:r>
        <w:t xml:space="preserve">, 2:67 (1968: 255), which requires</w:t>
      </w:r>
      <w:r>
        <w:t xml:space="preserve"> </w:t>
      </w:r>
      <w:r>
        <w:t xml:space="preserve">“distinct selves capable of social communication, and, in general, engaged in communication.”</w:t>
      </w:r>
      <w:r>
        <w:t xml:space="preserve"> </w:t>
      </w:r>
      <w:r>
        <w:t xml:space="preserve">Royce also frames membership as holding among contemporaries (2:44, 2:49); the dead are commemorated and the commemorators are the members.</w:t>
      </w:r>
    </w:p>
  </w:footnote>
  <w:footnote w:id="10">
    <w:p>
      <w:pPr>
        <w:pStyle w:val="FootnoteText"/>
      </w:pPr>
      <w:r>
        <w:rPr>
          <w:rStyle w:val="FootnoteReference"/>
        </w:rPr>
        <w:footnoteRef/>
      </w:r>
      <w:r>
        <w:t xml:space="preserve"> </w:t>
      </w:r>
      <w:r>
        <w:t xml:space="preserve">Royce,</w:t>
      </w:r>
      <w:r>
        <w:t xml:space="preserve"> </w:t>
      </w:r>
      <w:r>
        <w:rPr>
          <w:i/>
          <w:iCs/>
        </w:rPr>
        <w:t xml:space="preserve">Problem of Christianity</w:t>
      </w:r>
      <w:r>
        <w:t xml:space="preserve">, 2:148–49 (1968: 289), and 2:211 (1968: 315), where all three terms of the Community of Interpretation are selves. Royce’s Colorado Canyon passage, which comes closest to an impersonal interpreter, is subjunctive throughout.</w:t>
      </w:r>
    </w:p>
  </w:footnote>
  <w:footnote w:id="11">
    <w:p>
      <w:pPr>
        <w:pStyle w:val="FootnoteText"/>
      </w:pPr>
      <w:r>
        <w:rPr>
          <w:rStyle w:val="FootnoteReference"/>
        </w:rPr>
        <w:footnoteRef/>
      </w:r>
      <w:r>
        <w:t xml:space="preserve"> </w:t>
      </w:r>
      <w:r>
        <w:t xml:space="preserve">Charles A. Reich,</w:t>
      </w:r>
      <w:r>
        <w:t xml:space="preserve"> </w:t>
      </w:r>
      <w:r>
        <w:t xml:space="preserve">“The New Property,”</w:t>
      </w:r>
      <w:r>
        <w:t xml:space="preserve"> </w:t>
      </w:r>
      <w:r>
        <w:rPr>
          <w:i/>
          <w:iCs/>
        </w:rPr>
        <w:t xml:space="preserve">Yale Law Journal</w:t>
      </w:r>
      <w:r>
        <w:t xml:space="preserve"> </w:t>
      </w:r>
      <w:r>
        <w:t xml:space="preserve">73, no. 5 (1964): 733–787, at 751 for the grantor-power sentence quoted in the text.</w:t>
      </w:r>
    </w:p>
  </w:footnote>
  <w:footnote w:id="12">
    <w:p>
      <w:pPr>
        <w:pStyle w:val="FootnoteText"/>
      </w:pPr>
      <w:r>
        <w:rPr>
          <w:rStyle w:val="FootnoteReference"/>
        </w:rPr>
        <w:footnoteRef/>
      </w:r>
      <w:r>
        <w:t xml:space="preserve"> </w:t>
      </w:r>
      <w:r>
        <w:t xml:space="preserve">Reich,</w:t>
      </w:r>
      <w:r>
        <w:t xml:space="preserve"> </w:t>
      </w:r>
      <w:r>
        <w:t xml:space="preserve">“The New Property,”</w:t>
      </w:r>
      <w:r>
        <w:t xml:space="preserve"> </w:t>
      </w:r>
      <w:r>
        <w:t xml:space="preserve">741.</w:t>
      </w:r>
    </w:p>
  </w:footnote>
  <w:footnote w:id="13">
    <w:p>
      <w:pPr>
        <w:pStyle w:val="FootnoteText"/>
      </w:pPr>
      <w:r>
        <w:rPr>
          <w:rStyle w:val="FootnoteReference"/>
        </w:rPr>
        <w:footnoteRef/>
      </w:r>
      <w:r>
        <w:t xml:space="preserve"> </w:t>
      </w:r>
      <w:r>
        <w:t xml:space="preserve">Reich,</w:t>
      </w:r>
      <w:r>
        <w:t xml:space="preserve"> </w:t>
      </w:r>
      <w:r>
        <w:t xml:space="preserve">“The New Property,”</w:t>
      </w:r>
      <w:r>
        <w:t xml:space="preserve"> </w:t>
      </w:r>
      <w:r>
        <w:t xml:space="preserve">783.</w:t>
      </w:r>
    </w:p>
  </w:footnote>
  <w:footnote w:id="14">
    <w:p>
      <w:pPr>
        <w:pStyle w:val="FootnoteText"/>
      </w:pPr>
      <w:r>
        <w:rPr>
          <w:rStyle w:val="FootnoteReference"/>
        </w:rPr>
        <w:footnoteRef/>
      </w:r>
      <w:r>
        <w:t xml:space="preserve"> </w:t>
      </w:r>
      <w:r>
        <w:t xml:space="preserve">Reich,</w:t>
      </w:r>
      <w:r>
        <w:t xml:space="preserve"> </w:t>
      </w:r>
      <w:r>
        <w:t xml:space="preserve">“The New Property,”</w:t>
      </w:r>
      <w:r>
        <w:t xml:space="preserve"> </w:t>
      </w:r>
      <w:r>
        <w:t xml:space="preserve">786:</w:t>
      </w:r>
      <w:r>
        <w:t xml:space="preserve"> </w:t>
      </w:r>
      <w:r>
        <w:t xml:space="preserve">“There are many other new forms of wealth: franchises in private businesses, equities in corporations, the right to receive privately furnished utilities and services, status in private organizations. These too may need added safeguards in the future.”</w:t>
      </w:r>
    </w:p>
  </w:footnote>
  <w:footnote w:id="15">
    <w:p>
      <w:pPr>
        <w:pStyle w:val="FootnoteText"/>
      </w:pPr>
      <w:r>
        <w:rPr>
          <w:rStyle w:val="FootnoteReference"/>
        </w:rPr>
        <w:footnoteRef/>
      </w:r>
      <w:r>
        <w:t xml:space="preserve"> </w:t>
      </w:r>
      <w:r>
        <w:t xml:space="preserve">Two coders worked all thirty-five segments from the transcript without sight of each other’s sheets, coding each for its relation to paid work and for any attempt to convert something into money. Agreement was 34/35 on the first dimension (Cohen’s κ = 0.96) and 33/35 on the second (κ = 0.91), with all three disagreements preserved rather than reconciled. Both coders returned identical segment lists for every figure cited here. The full tables, the coding scheme, and the prediction as it was recorded before the count are available from the author. The transcript is subtitle-derived, so this is a census of what can be heard and not of what the film shows.</w:t>
      </w:r>
    </w:p>
  </w:footnote>
  <w:footnote w:id="16">
    <w:p>
      <w:pPr>
        <w:pStyle w:val="FootnoteText"/>
      </w:pPr>
      <w:r>
        <w:rPr>
          <w:rStyle w:val="FootnoteReference"/>
        </w:rPr>
        <w:footnoteRef/>
      </w:r>
      <w:r>
        <w:t xml:space="preserve"> </w:t>
      </w:r>
      <w:r>
        <w:t xml:space="preserve">U.S. Bureau of the Census,</w:t>
      </w:r>
      <w:r>
        <w:t xml:space="preserve"> </w:t>
      </w:r>
      <w:r>
        <w:rPr>
          <w:i/>
          <w:iCs/>
        </w:rPr>
        <w:t xml:space="preserve">1990 Census of Population and Housing, Population and Housing Unit Counts: Texas</w:t>
      </w:r>
      <w:r>
        <w:t xml:space="preserve">, 1990 CPH-2-45, Table 9. The city’s boundaries changed over the decade. Household size fell nationally through the 1980s, which produces a gap of this kind with no surplus, so the figure is offered as context rather than as evidence of overbuilding.</w:t>
      </w:r>
    </w:p>
  </w:footnote>
  <w:footnote w:id="17">
    <w:p>
      <w:pPr>
        <w:pStyle w:val="FootnoteText"/>
      </w:pPr>
      <w:r>
        <w:rPr>
          <w:rStyle w:val="FootnoteReference"/>
        </w:rPr>
        <w:footnoteRef/>
      </w:r>
      <w:r>
        <w:t xml:space="preserve"> </w:t>
      </w:r>
      <w:r>
        <w:t xml:space="preserve">Real Estate Center, Texas A&amp;M University,</w:t>
      </w:r>
      <w:r>
        <w:t xml:space="preserve"> </w:t>
      </w:r>
      <w:r>
        <w:rPr>
          <w:i/>
          <w:iCs/>
        </w:rPr>
        <w:t xml:space="preserve">Texas Real Estate Center Trends</w:t>
      </w:r>
      <w:r>
        <w:t xml:space="preserve"> </w:t>
      </w:r>
      <w:r>
        <w:t xml:space="preserve">3, no. 8 (April 1990), Table 1.</w:t>
      </w:r>
    </w:p>
  </w:footnote>
  <w:footnote w:id="18">
    <w:p>
      <w:pPr>
        <w:pStyle w:val="FootnoteText"/>
      </w:pPr>
      <w:r>
        <w:rPr>
          <w:rStyle w:val="FootnoteReference"/>
        </w:rPr>
        <w:footnoteRef/>
      </w:r>
      <w:r>
        <w:t xml:space="preserve"> </w:t>
      </w:r>
      <w:r>
        <w:t xml:space="preserve">U.S. Bureau of the Census,</w:t>
      </w:r>
      <w:r>
        <w:t xml:space="preserve"> </w:t>
      </w:r>
      <w:r>
        <w:rPr>
          <w:i/>
          <w:iCs/>
        </w:rPr>
        <w:t xml:space="preserve">1990 Census of Housing, General Housing Characteristics: Texas</w:t>
      </w:r>
      <w:r>
        <w:t xml:space="preserve">, 1990 CH-1-45, sec. 1, Table 1; U.S. Department of Education, NCES, IPEDS Fall Enrollment 1989, file EF1989_A, UNITID 228778.</w:t>
      </w:r>
    </w:p>
  </w:footnote>
  <w:footnote w:id="19">
    <w:p>
      <w:pPr>
        <w:pStyle w:val="FootnoteText"/>
      </w:pPr>
      <w:r>
        <w:rPr>
          <w:rStyle w:val="FootnoteReference"/>
        </w:rPr>
        <w:footnoteRef/>
      </w:r>
      <w:r>
        <w:t xml:space="preserve"> </w:t>
      </w:r>
      <w:r>
        <w:t xml:space="preserve">Census,</w:t>
      </w:r>
      <w:r>
        <w:t xml:space="preserve"> </w:t>
      </w:r>
      <w:r>
        <w:rPr>
          <w:i/>
          <w:iCs/>
        </w:rPr>
        <w:t xml:space="preserve">General Housing Characteristics: Texas</w:t>
      </w:r>
      <w:r>
        <w:t xml:space="preserve">, 1990 CH-1-45, sec. 1, Table 1.</w:t>
      </w:r>
    </w:p>
  </w:footnote>
  <w:footnote w:id="20">
    <w:p>
      <w:pPr>
        <w:pStyle w:val="FootnoteText"/>
      </w:pPr>
      <w:r>
        <w:rPr>
          <w:rStyle w:val="FootnoteReference"/>
        </w:rPr>
        <w:footnoteRef/>
      </w:r>
      <w:r>
        <w:t xml:space="preserve"> </w:t>
      </w:r>
      <w:r>
        <w:rPr>
          <w:i/>
          <w:iCs/>
        </w:rPr>
        <w:t xml:space="preserve">New York Times</w:t>
      </w:r>
      <w:r>
        <w:t xml:space="preserve">, 7 August 1991.</w:t>
      </w:r>
    </w:p>
  </w:footnote>
  <w:footnote w:id="21">
    <w:p>
      <w:pPr>
        <w:pStyle w:val="FootnoteText"/>
      </w:pPr>
      <w:r>
        <w:rPr>
          <w:rStyle w:val="FootnoteReference"/>
        </w:rPr>
        <w:footnoteRef/>
      </w:r>
      <w:r>
        <w:t xml:space="preserve"> </w:t>
      </w:r>
      <w:r>
        <w:t xml:space="preserve">Mary P. Erickson,</w:t>
      </w:r>
      <w:r>
        <w:t xml:space="preserve"> </w:t>
      </w:r>
      <w:r>
        <w:t xml:space="preserve">“</w:t>
      </w:r>
      <w:r>
        <w:t xml:space="preserve">‘I Think I Still Qualify as a Slacker … Just One That’s Currently Lucky’</w:t>
      </w:r>
      <w:r>
        <w:t xml:space="preserve">: The Myths of</w:t>
      </w:r>
      <w:r>
        <w:t xml:space="preserve"> </w:t>
      </w:r>
      <w:r>
        <w:rPr>
          <w:i/>
          <w:iCs/>
        </w:rPr>
        <w:t xml:space="preserve">Slacker</w:t>
      </w:r>
      <w:r>
        <w:t xml:space="preserve">, Austin, and Richard Linklater,”</w:t>
      </w:r>
      <w:r>
        <w:t xml:space="preserve"> </w:t>
      </w:r>
      <w:r>
        <w:t xml:space="preserve">in</w:t>
      </w:r>
      <w:r>
        <w:t xml:space="preserve"> </w:t>
      </w:r>
      <w:r>
        <w:rPr>
          <w:i/>
          <w:iCs/>
        </w:rPr>
        <w:t xml:space="preserve">ReFocus: The Films of Richard Linklater</w:t>
      </w:r>
      <w:r>
        <w:t xml:space="preserve">, ed. Kim Wilkins and Timotheus Vermeulen (Edinburgh: Edinburgh University Press, 2022), 15–33; Joshua Long,</w:t>
      </w:r>
      <w:r>
        <w:t xml:space="preserve"> </w:t>
      </w:r>
      <w:r>
        <w:rPr>
          <w:i/>
          <w:iCs/>
        </w:rPr>
        <w:t xml:space="preserve">Weird City: Sense of Place and Creative Resistance in Austin, Texas</w:t>
      </w:r>
      <w:r>
        <w:t xml:space="preserve"> </w:t>
      </w:r>
      <w:r>
        <w:t xml:space="preserve">(Austin: University of Texas Press, 2010). The Long quotation was located by search inside an ebook edition and its page should be confirmed against print. Long’s subject is the enclosure of Austin’s weirdness in the 2000s rather than the ecology of 1990, so he stands as the later half of the story rather than as a witness to this one. See also Andrew Busch’s review essay in</w:t>
      </w:r>
      <w:r>
        <w:t xml:space="preserve"> </w:t>
      </w:r>
      <w:r>
        <w:rPr>
          <w:i/>
          <w:iCs/>
        </w:rPr>
        <w:t xml:space="preserve">American Quarterly</w:t>
      </w:r>
      <w:r>
        <w:t xml:space="preserve"> </w:t>
      </w:r>
      <w:r>
        <w:t xml:space="preserve">63, no. 2 (2011): 399–408, which faults Long for attending to middle-class South Austin while overlooking gentrification on the east side, a caveat that bears directly on who a reaching city reaches.</w:t>
      </w:r>
    </w:p>
  </w:footnote>
  <w:footnote w:id="22">
    <w:p>
      <w:pPr>
        <w:pStyle w:val="FootnoteText"/>
      </w:pPr>
      <w:r>
        <w:rPr>
          <w:rStyle w:val="FootnoteReference"/>
        </w:rPr>
        <w:footnoteRef/>
      </w:r>
      <w:r>
        <w:t xml:space="preserve"> </w:t>
      </w:r>
      <w:r>
        <w:t xml:space="preserve">The census and both codings are mine; the two coders’ full tables, with every disagreement preserved unresolved rather than reconciled by fiat, are available from the author. Cohen’s κ corrects raw agreement for the share expected by chance.</w:t>
      </w:r>
    </w:p>
  </w:footnote>
  <w:footnote w:id="23">
    <w:p>
      <w:pPr>
        <w:pStyle w:val="FootnoteText"/>
      </w:pPr>
      <w:r>
        <w:rPr>
          <w:rStyle w:val="FootnoteReference"/>
        </w:rPr>
        <w:footnoteRef/>
      </w:r>
      <w:r>
        <w:t xml:space="preserve"> </w:t>
      </w:r>
      <w:r>
        <w:t xml:space="preserve">The equivocal seams, by segment pair. At 5→6 the line at the seam falls on the far side of my segmentation’s boundary while the coders’ notes treat it as the earlier scene’s closing beat, and a transcript without speaker names cannot assign it [DISC:T2]. At 12→13 the reply at the seam answers a line the transcript never carries [DISC:T3]. At 13→14,</w:t>
      </w:r>
      <w:r>
        <w:t xml:space="preserve"> </w:t>
      </w:r>
      <w:r>
        <w:t xml:space="preserve">“They’re back”</w:t>
      </w:r>
      <w:r>
        <w:t xml:space="preserve"> </w:t>
      </w:r>
      <w:r>
        <w:t xml:space="preserve">names no referent anywhere in the dialogue [DISC:T4]. At 22→23 an object changes hands unnamed, and if it is the rare Marquis de Sade the burglars admire two lines later the seam is a bridge; if not it is bare, and this single case is what makes the figure a band rather than a number [DISC:T6]. At 34→35 the transcript simply ends, the final sequence having no dialogue, so this instrument can show neither a link nor its absence [DISC:T11]. Three pairs of segments share overlapping line ranges and several boundaries fall inside continuous exchanges, so a few codes describe where I drew a seam rather than where the film cut; they stay in the count, flagged, because deleting any of them would manufacture the point estimate the band exists to refuse. Two of the film’s neatest repetitions rest on exact subtitle wording and I argue from neither [DISC:T5].</w:t>
      </w:r>
    </w:p>
  </w:footnote>
  <w:footnote w:id="24">
    <w:p>
      <w:pPr>
        <w:pStyle w:val="FootnoteText"/>
      </w:pPr>
      <w:r>
        <w:rPr>
          <w:rStyle w:val="FootnoteReference"/>
        </w:rPr>
        <w:footnoteRef/>
      </w:r>
      <w:r>
        <w:t xml:space="preserve"> </w:t>
      </w:r>
      <w:r>
        <w:t xml:space="preserve">Amazon.com, Inc.,</w:t>
      </w:r>
      <w:r>
        <w:t xml:space="preserve"> </w:t>
      </w:r>
      <w:r>
        <w:t xml:space="preserve">“Prime Video Direct Content Providers: Licensing Consideration and Title Review,”</w:t>
      </w:r>
      <w:r>
        <w:t xml:space="preserve"> </w:t>
      </w:r>
      <w:r>
        <w:t xml:space="preserve">Prime Video Tech Docs, last updated August 5, 2025, a living page quoted as retrieved on August 1, 2026. The sentence carrying the phrase</w:t>
      </w:r>
      <w:r>
        <w:t xml:space="preserve"> </w:t>
      </w:r>
      <w:r>
        <w:t xml:space="preserve">“engagement standards”</w:t>
      </w:r>
      <w:r>
        <w:t xml:space="preserve"> </w:t>
      </w:r>
      <w:r>
        <w:t xml:space="preserve">and the words</w:t>
      </w:r>
      <w:r>
        <w:t xml:space="preserve"> </w:t>
      </w:r>
      <w:r>
        <w:t xml:space="preserve">“may be subject to removal”</w:t>
      </w:r>
      <w:r>
        <w:t xml:space="preserve"> </w:t>
      </w:r>
      <w:r>
        <w:t xml:space="preserve">follows the review sentence on the same page.</w:t>
      </w:r>
    </w:p>
  </w:footnote>
  <w:footnote w:id="25">
    <w:p>
      <w:pPr>
        <w:pStyle w:val="FootnoteText"/>
      </w:pPr>
      <w:r>
        <w:rPr>
          <w:rStyle w:val="FootnoteReference"/>
        </w:rPr>
        <w:footnoteRef/>
      </w:r>
      <w:r>
        <w:t xml:space="preserve"> </w:t>
      </w:r>
      <w:r>
        <w:t xml:space="preserve">Rideshare Drivers United and Asian Law Caucus,</w:t>
      </w:r>
      <w:r>
        <w:t xml:space="preserve"> </w:t>
      </w:r>
      <w:r>
        <w:rPr>
          <w:i/>
          <w:iCs/>
        </w:rPr>
        <w:t xml:space="preserve">Fired by an App: The Toll of Secret Algorithms and Unchecked Discrimination on California Rideshare Drivers</w:t>
      </w:r>
      <w:r>
        <w:t xml:space="preserve"> </w:t>
      </w:r>
      <w:r>
        <w:t xml:space="preserve">(report, February 2023), 15, 19. The two-thirds figure pools temporary suspension with permanent removal, and the thirty percent is of drivers who were deactivated rather than of all 810 surveyed. Recruitment ran through the union’s networks, two community organizations, and paid advertising; the report says of its own respondents that they</w:t>
      </w:r>
      <w:r>
        <w:t xml:space="preserve"> </w:t>
      </w:r>
      <w:r>
        <w:t xml:space="preserve">“may be more likely to be inclined to participate in a survey as a way of documenting or sharing their experience with deactivation.”</w:t>
      </w:r>
    </w:p>
  </w:footnote>
  <w:footnote w:id="26">
    <w:p>
      <w:pPr>
        <w:pStyle w:val="FootnoteText"/>
      </w:pPr>
      <w:r>
        <w:rPr>
          <w:rStyle w:val="FootnoteReference"/>
        </w:rPr>
        <w:footnoteRef/>
      </w:r>
      <w:r>
        <w:t xml:space="preserve"> </w:t>
      </w:r>
      <w:r>
        <w:t xml:space="preserve">Foreign Exchange Committee, Federal Reserve Bank of New York,</w:t>
      </w:r>
      <w:r>
        <w:t xml:space="preserve"> </w:t>
      </w:r>
      <w:r>
        <w:rPr>
          <w:i/>
          <w:iCs/>
        </w:rPr>
        <w:t xml:space="preserve">Annual Report 1991</w:t>
      </w:r>
      <w:r>
        <w:t xml:space="preserve">, 8, which describes the then-planned electronic broking systems as under development in November 1991. Reuters Dealing 2000-2 opened in 1992; EBS launched in September 1993, following a funding decision in January 1990 and a formal partnership in May 1992. The film’s Dobie run was in 1990 and its New York opening on 5 July 1991, so the venues follow the film by one to three years rather than accompanying it.</w:t>
      </w:r>
    </w:p>
  </w:footnote>
  <w:footnote w:id="27">
    <w:p>
      <w:pPr>
        <w:pStyle w:val="FootnoteText"/>
      </w:pPr>
      <w:r>
        <w:rPr>
          <w:rStyle w:val="FootnoteReference"/>
        </w:rPr>
        <w:footnoteRef/>
      </w:r>
      <w:r>
        <w:t xml:space="preserve"> </w:t>
      </w:r>
      <w:r>
        <w:t xml:space="preserve">Bank for International Settlements,</w:t>
      </w:r>
      <w:r>
        <w:t xml:space="preserve"> </w:t>
      </w:r>
      <w:r>
        <w:rPr>
          <w:i/>
          <w:iCs/>
        </w:rPr>
        <w:t xml:space="preserve">Quarterly Review</w:t>
      </w:r>
      <w:r>
        <w:t xml:space="preserve">, December 2019, 41–42:</w:t>
      </w:r>
      <w:r>
        <w:t xml:space="preserve"> </w:t>
      </w:r>
      <w:r>
        <w:t xml:space="preserve">“</w:t>
      </w:r>
      <w:r>
        <w:t xml:space="preserve">‘Indirect’</w:t>
      </w:r>
      <w:r>
        <w:t xml:space="preserve"> </w:t>
      </w:r>
      <w:r>
        <w:t xml:space="preserve">refers to the involvement of a third party in the matching process. This can, for instance, be a traditional voice broker, an electronic broking platform or a multi-bank platform.”</w:t>
      </w:r>
      <w:r>
        <w:t xml:space="preserve"> </w:t>
      </w:r>
      <w:r>
        <w:t xml:space="preserve">The venues say the same from inside:</w:t>
      </w:r>
      <w:r>
        <w:t xml:space="preserve"> </w:t>
      </w:r>
      <w:r>
        <w:rPr>
          <w:i/>
          <w:iCs/>
        </w:rPr>
        <w:t xml:space="preserve">LSEG FX UK MTF Rule Book</w:t>
      </w:r>
      <w:r>
        <w:t xml:space="preserve">, v1.2, effective 1 December 2025, Rule 1.1.4, 13,</w:t>
      </w:r>
      <w:r>
        <w:t xml:space="preserve"> </w:t>
      </w:r>
      <w:r>
        <w:t xml:space="preserve">“LSEG is not a party to … Transactions conducted on the Platform. Payment and settlement … are the sole responsibility of the two Participants concerned,”</w:t>
      </w:r>
      <w:r>
        <w:t xml:space="preserve"> </w:t>
      </w:r>
      <w:r>
        <w:t xml:space="preserve">and</w:t>
      </w:r>
      <w:r>
        <w:t xml:space="preserve"> </w:t>
      </w:r>
      <w:r>
        <w:rPr>
          <w:i/>
          <w:iCs/>
        </w:rPr>
        <w:t xml:space="preserve">EBS MTF Rulebook</w:t>
      </w:r>
      <w:r>
        <w:t xml:space="preserve">, Rule 2.9, 6,</w:t>
      </w:r>
      <w:r>
        <w:t xml:space="preserve"> </w:t>
      </w:r>
      <w:r>
        <w:t xml:space="preserve">“The Operator is not a party to any Transaction.”</w:t>
      </w:r>
    </w:p>
  </w:footnote>
  <w:footnote w:id="28">
    <w:p>
      <w:pPr>
        <w:pStyle w:val="FootnoteText"/>
      </w:pPr>
      <w:r>
        <w:rPr>
          <w:rStyle w:val="FootnoteReference"/>
        </w:rPr>
        <w:footnoteRef/>
      </w:r>
      <w:r>
        <w:t xml:space="preserve"> </w:t>
      </w:r>
      <w:r>
        <w:t xml:space="preserve">The tipping is attributed to network externalities in the central-bank literature of the period and produced one dominant venue per currency pair rather than one worldwide, with EBS and Reuters splitting the major pairs between them.</w:t>
      </w:r>
    </w:p>
  </w:footnote>
  <w:footnote w:id="29">
    <w:p>
      <w:pPr>
        <w:pStyle w:val="FootnoteText"/>
      </w:pPr>
      <w:r>
        <w:rPr>
          <w:rStyle w:val="FootnoteReference"/>
        </w:rPr>
        <w:footnoteRef/>
      </w:r>
      <w:r>
        <w:t xml:space="preserve"> </w:t>
      </w:r>
      <w:r>
        <w:rPr>
          <w:i/>
          <w:iCs/>
        </w:rPr>
        <w:t xml:space="preserve">LSEG FX SEF Rulebook</w:t>
      </w:r>
      <w:r>
        <w:t xml:space="preserve">, v4.1, effective 11 August 2026, Rules 302(g)–(h), at 31, which oblige written reasons within fourteen days and provide for reconsideration;</w:t>
      </w:r>
      <w:r>
        <w:t xml:space="preserve"> </w:t>
      </w:r>
      <w:r>
        <w:rPr>
          <w:i/>
          <w:iCs/>
        </w:rPr>
        <w:t xml:space="preserve">LSEG FX UK MTF Rule Book</w:t>
      </w:r>
      <w:r>
        <w:t xml:space="preserve">, v1.2, Rule 3.1.5, at 21, permitting revocation, suspension, or restriction of access</w:t>
      </w:r>
      <w:r>
        <w:t xml:space="preserve"> </w:t>
      </w:r>
      <w:r>
        <w:t xml:space="preserve">“in the sole discretion of LSEG,”</w:t>
      </w:r>
      <w:r>
        <w:t xml:space="preserve"> </w:t>
      </w:r>
      <w:r>
        <w:t xml:space="preserve">qualified at Rule 5.1.4, at 27, only by an endeavour to give prior written notice</w:t>
      </w:r>
      <w:r>
        <w:t xml:space="preserve"> </w:t>
      </w:r>
      <w:r>
        <w:t xml:space="preserve">“to the extent it is reasonably able to.”</w:t>
      </w:r>
      <w:r>
        <w:t xml:space="preserve"> </w:t>
      </w:r>
      <w:r>
        <w:t xml:space="preserve">The FX Global Code (updated December 2024), Principle 9, obliges a platform to be transparent about how it handles an order and is silent on how it handles a party.</w:t>
      </w:r>
    </w:p>
  </w:footnote>
  <w:footnote w:id="30">
    <w:p>
      <w:pPr>
        <w:pStyle w:val="FootnoteText"/>
      </w:pPr>
      <w:r>
        <w:rPr>
          <w:rStyle w:val="FootnoteReference"/>
        </w:rPr>
        <w:footnoteRef/>
      </w:r>
      <w:r>
        <w:t xml:space="preserve"> </w:t>
      </w:r>
      <w:r>
        <w:t xml:space="preserve">The counterfactual is to restore a forbidden direct edge between a third party’s two neighbours and read whether the third stays in the coordination’s irreducible core. The results are in-silico throughout, run over stylized three-element Boolean models, and classify rather than measure.</w:t>
      </w:r>
    </w:p>
  </w:footnote>
  <w:footnote w:id="31">
    <w:p>
      <w:pPr>
        <w:pStyle w:val="FootnoteText"/>
      </w:pPr>
      <w:r>
        <w:rPr>
          <w:rStyle w:val="FootnoteReference"/>
        </w:rPr>
        <w:footnoteRef/>
      </w:r>
      <w:r>
        <w:t xml:space="preserve"> </w:t>
      </w:r>
      <w:r>
        <w:t xml:space="preserve">The construct and its three dimensions are developed in a companion paper by the author. The definition quoted here is its own.</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imes New Roman" w:cstheme="majorBidi" w:eastAsia="Times New Roman" w:eastAsiaTheme="majorEastAsia" w:hAnsi="Times New Roman" w:hAnsiTheme="majorHAnsi"/>
      <w:b/>
      <w:bCs/>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imes New Roman" w:cstheme="majorBidi" w:eastAsia="Times New Roman" w:eastAsiaTheme="majorEastAsia" w:hAnsi="Times New Roman" w:hAnsiTheme="majorHAnsi"/>
      <w:b/>
      <w:bCs/>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imes New Roman" w:cstheme="majorBidi" w:eastAsia="Times New Roman"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imes New Roman" w:cstheme="majorBidi" w:eastAsia="Times New Roman" w:eastAsiaTheme="majorEastAsia" w:hAnsi="Times New Roman" w:hAnsiTheme="majorHAnsi"/>
      <w:color w:themeColor="text2" w:themeShade="BF" w:val="17365D"/>
      <w:spacing w:val="5"/>
      <w:kern w:val="28"/>
      <w:sz w:val="2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imes New Roman" w:cstheme="majorBidi" w:eastAsia="Times New Roman" w:eastAsiaTheme="majorEastAsia" w:hAnsi="Times New Roman"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2026-08-11T23:47:52Z</dcterms:created>
  <dcterms:modified xsi:type="dcterms:W3CDTF">2026-08-11T23:47:52Z</dcterms:modified>
</cp:coreProperties>
</file>

<file path=docProps/custom.xml><?xml version="1.0" encoding="utf-8"?>
<Properties xmlns="http://schemas.openxmlformats.org/officeDocument/2006/custom-properties" xmlns:vt="http://schemas.openxmlformats.org/officeDocument/2006/docPropsVTypes"/>
</file>