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Xa71df3dbcaf5311d04b8d281a81a828193769ba"/>
    <w:p>
      <w:pPr>
        <w:pStyle w:val="Heading1"/>
      </w:pPr>
      <w:r>
        <w:t xml:space="preserve">Algorithmacy and Sovereignty: Coordinative Sovereignty for the Platform Era</w:t>
      </w:r>
    </w:p>
    <w:bookmarkStart w:id="9" w:name="abstract"/>
    <w:p>
      <w:pPr>
        <w:pStyle w:val="Heading2"/>
      </w:pPr>
      <w:r>
        <w:t xml:space="preserve">Abstract</w:t>
      </w:r>
    </w:p>
    <w:p>
      <w:pPr>
        <w:pStyle w:val="FirstParagraph"/>
      </w:pPr>
      <w:r>
        <w:t xml:space="preserve">Although a firm can comply with every instrument of Europe’s digital regulation and take the disclosures and complaint channels it supplies, it can still lack standing over the determinations that set its market position. Sovereignty has always required a competence equal to the medium through which power runs — speech in oral orders, writing in the literate state, a literacy of code and data in the digital one — yet platform coordination runs through an algorithmic third party that reads both and commits outcomes neither controls, which no prior competence reaches. Governing that coordination takes algorithmacy, those capacities indexed to the triad, and a different sovereignty: coordinative sovereignty, the standing to shape one’s terms of mediation, to contest the mediator’s arbitrary power, and to share in governing what the open tie does not dissolve. A counterfactual then sorts mediators an actor can leave from those it can only govern, and names the available institutional class.</w:t>
      </w:r>
    </w:p>
    <w:p>
      <w:pPr>
        <w:pStyle w:val="BodyText"/>
      </w:pPr>
      <w:r>
        <w:rPr>
          <w:b/>
          <w:bCs/>
        </w:rPr>
        <w:t xml:space="preserve">Keywords:</w:t>
      </w:r>
      <w:r>
        <w:t xml:space="preserve"> digital sovereignty, coordinative sovereignty, algorithmacy, platform coordination, co-optation, algorithmic management, non-domination, exit and voice, contestability, data trusts</w:t>
      </w:r>
    </w:p>
    <w:bookmarkEnd w:id="9"/>
    <w:bookmarkStart w:id="10" w:name="introduction"/>
    <w:p>
      <w:pPr>
        <w:pStyle w:val="Heading2"/>
      </w:pPr>
      <w:r>
        <w:t xml:space="preserve">1. Introduction</w:t>
      </w:r>
    </w:p>
    <w:p>
      <w:pPr>
        <w:pStyle w:val="FirstParagraph"/>
      </w:pPr>
      <w:r>
        <w:t xml:space="preserve">Europe has spent a decade building the most ambitious digital regulation in the world — the General Data Protection Regulation governs personal data, the AI Act classifies and constrains AI systems by risk, the Digital Markets Act disciplines gatekeeping, the Digital Services Act reaches content and recommendation, and the NIS2 Directive mandates cybersecurity governance — and together these instruments give European actors a degree of control over data, infrastructure, and code that no other jurisdiction matches (Bradford, 2023; Floridi, 2020; Fratini et al., 2024).</w:t>
      </w:r>
    </w:p>
    <w:p>
      <w:pPr>
        <w:pStyle w:val="BodyText"/>
      </w:pPr>
      <w:r>
        <w:t xml:space="preserve">Yet a firm can satisfy every one of these requirements and remain strategically helpless: an independent software vendor with impeccable data-protection practices still depends, for its entire access to customers, on an application store’s ranking and review decisions, and although it can read the store’s published ranking parameters and file a complaint about an outcome, it can neither predict those decisions nor govern them. Disclosure duties and complaint channels now reach parts of that layer, as section 3.2 covers them. However, they still leave the merchant whose listings disappear and the creator whose audience vanishes in a recommendation change announced nowhere without standing over the determination that decided the outcome. Compliance therefore governs how these actors handle data, while their market positions are decided somewhere else, inside the algorithmic systems through which the platform chooses what to surface and what to bury (Cutolo &amp; Kenney, 2021; Rahman, 2021; Rahman et al., 2024).</w:t>
      </w:r>
    </w:p>
    <w:p>
      <w:pPr>
        <w:pStyle w:val="BodyText"/>
      </w:pPr>
      <w:r>
        <w:t xml:space="preserve">Behind the gap lies a pattern older than the platforms: every form of sovereignty has required a competence equal to the medium through which authority runs, and the competence and the accountability have always arrived together. Habermas (1962/1989) traced the pairing for the literate state, where private persons reasoning together in print constituted a sphere in which public power could be called to answer, and the reasoning was a practiced skill before it was a political fact; digital sovereignty extends that logic to new objects, giving states, firms, and communities the means to inspect and control their data, their infrastructure, and their code.</w:t>
      </w:r>
    </w:p>
    <w:p>
      <w:pPr>
        <w:pStyle w:val="BodyText"/>
      </w:pPr>
      <w:r>
        <w:t xml:space="preserve">Platform coordination introduces a relationship the pattern does not cover, because a worker, a seller, or a creator does not stand on one side of a medium and read it: each is coordinating with a counterpart it will never meet, through a system that reads them both at once and commits determinations neither of them controls. No amount of reading reaches that system, because reading is the wrong operation to perform on it, and what sets the situation apart is a question about the coordination’s rules. Restore the direct tie between the two parties the mediator stands between, the tie that strict mediation forbids, and ask what the mediator still does. Some mediators lose their grip entirely; others lose nothing. That single difference decides whether an actor’s remaining power is the power to leave or the power to be heard.</w:t>
      </w:r>
    </w:p>
    <w:p>
      <w:pPr>
        <w:pStyle w:val="BodyText"/>
      </w:pPr>
      <w:r>
        <w:t xml:space="preserve">Where the mediator cannot be left, demanding independence is worse than futile, because it spends the actor’s leverage on a bypass that does not exist and redefines freedom as the absence of the coordination rather than as standing within it. Berlin (1969) named the general shape of that error: a person does not become free to walk by ceasing to want to walk. An actor that withdraws its demands from the terms of a mediation it cannot escape has not secured its autonomy; it has abandoned the field on which its autonomy would be exercised. E. Anderson (2017) makes the point about employment, where the right to quit has long been offered as the answer to an employer’s authority and has never been sufficient, because the worker who quits arrives at another employer with the same powers.</w:t>
      </w:r>
    </w:p>
    <w:p>
      <w:pPr>
        <w:pStyle w:val="BodyText"/>
      </w:pPr>
      <w:r>
        <w:t xml:space="preserve">The alternative is coordinative sovereignty, understood as standing within a necessary mediation: the power to shape the terms on which one is mediated, to contest the mediator’s arbitrary power, and to hold a share in the governance of an arrangement the open tie does not dissolve. Whereas digital sovereignty asks who controls the infrastructure, coordinative sovereignty asks what autonomy remains for the actor coordinating through it, and the two vary independently.</w:t>
      </w:r>
    </w:p>
    <w:p>
      <w:pPr>
        <w:pStyle w:val="BodyText"/>
      </w:pPr>
      <w:r>
        <w:t xml:space="preserve">Bodin made sovereignty supreme, perpetual, and indivisible (Bodin, 1576/1992), so a standing that is shared, partial, and exercised by complaint can look like a misuse of the term; yet the democratic tradition dissolved that difficulty long ago, and Habermas (1996) describes popular sovereignty as desubstantialized, no longer seated in a person or an assembly at all:</w:t>
      </w:r>
      <w:r>
        <w:t xml:space="preserve"> </w:t>
      </w:r>
      <w:r>
        <w:t xml:space="preserve">“sovereignty is found in those subjectless forms of communication”</w:t>
      </w:r>
      <w:r>
        <w:t xml:space="preserve"> </w:t>
      </w:r>
      <w:r>
        <w:t xml:space="preserve">(pp. 486–487). The term in that sense names the standing to hold power to account through the medium in which power is exercised, which is what a literate public exercises over a state whose writing it can read. Coordinative sovereignty adds two attributes: necessary mediation and a standing carried by voice, and so narrows the term’s extension. Repetto (2025), reviewing 240 works on digital sovereignty, reaches the same conclusion about the family: accounts that recognize multiple coexisting digital sovereigns</w:t>
      </w:r>
      <w:r>
        <w:t xml:space="preserve"> </w:t>
      </w:r>
      <w:r>
        <w:t xml:space="preserve">“neither stretch the concept of sovereignty nor turn digital sovereignty into something different from sovereignty tout court,”</w:t>
      </w:r>
      <w:r>
        <w:t xml:space="preserve"> </w:t>
      </w:r>
      <w:r>
        <w:t xml:space="preserve">but</w:t>
      </w:r>
      <w:r>
        <w:t xml:space="preserve"> </w:t>
      </w:r>
      <w:r>
        <w:t xml:space="preserve">“explore ways to innovate the concept of sovereignty as a whole”</w:t>
      </w:r>
      <w:r>
        <w:t xml:space="preserve"> </w:t>
      </w:r>
      <w:r>
        <w:t xml:space="preserve">(Abstract). What those accounts leave open is who holds the competence the standing requires.</w:t>
      </w:r>
    </w:p>
    <w:bookmarkEnd w:id="10"/>
    <w:bookmarkStart w:id="14" w:name="sovereignty-and-its-sensibilities"/>
    <w:p>
      <w:pPr>
        <w:pStyle w:val="Heading2"/>
      </w:pPr>
      <w:r>
        <w:t xml:space="preserve">2. Sovereignty and its sensibilities</w:t>
      </w:r>
    </w:p>
    <w:p>
      <w:pPr>
        <w:pStyle w:val="FirstParagraph"/>
      </w:pPr>
      <w:r>
        <w:t xml:space="preserve">A competence everyone has governs an authority everyone can contest, whereas a competence held by a few governs an authority the rest merely endure. Under a mediation an actor cannot leave, that distribution decides everything, because an actor who cannot leave and cannot contest has nothing left. Each of the three eras below shows the same two-part structure: a medium through which authority runs, and a competence for working it that was never evenly held.</w:t>
      </w:r>
    </w:p>
    <w:bookmarkStart w:id="11" w:name="oracy-and-the-oral-order"/>
    <w:p>
      <w:pPr>
        <w:pStyle w:val="Heading3"/>
      </w:pPr>
      <w:r>
        <w:t xml:space="preserve">2.1 Oracy and the oral order</w:t>
      </w:r>
    </w:p>
    <w:p>
      <w:pPr>
        <w:pStyle w:val="FirstParagraph"/>
      </w:pPr>
      <w:r>
        <w:t xml:space="preserve">Before writing, speech and memory carried authority: law was what the elders could recite, an oath bound because the community witnessed it, and a ruler’s word governed to the reach of the voices that could repeat it, while custom held because people could remember and perform it, and legitimacy rested on the capacity to speak and be heard in the right forms. Oracy, as Goody (1977) and Ong (1982) describe it, was the competence that let a member of such an order participate in its authority — give testimony, hold others to their word, carry the customary rules that constituted the group. Everyone in such an order could speak, yet not everyone could speak in the forms that bound: who might address the assembly, swear an oath the community would enforce, or recite the law as law was restricted by age, sex, birth, and office, so the competence was general and the authorized exercise of it was not, which is the difference that decided who could hold power to account. Within its range, sovereignty was real; beyond its range it stopped, and an oral order could not fix its law in a text, check today’s ruling against last year’s, or transmit a rule past the reach of living memory.</w:t>
      </w:r>
    </w:p>
    <w:bookmarkEnd w:id="11"/>
    <w:bookmarkStart w:id="12" w:name="literacy-and-the-democratic-state"/>
    <w:p>
      <w:pPr>
        <w:pStyle w:val="Heading3"/>
      </w:pPr>
      <w:r>
        <w:t xml:space="preserve">2.2 Literacy and the democratic state</w:t>
      </w:r>
    </w:p>
    <w:p>
      <w:pPr>
        <w:pStyle w:val="FirstParagraph"/>
      </w:pPr>
      <w:r>
        <w:t xml:space="preserve">Writing changed the terms: a written rule persists while memory drifts, travels without its author, and can be laid beside another writing and compared; these three properties—persistence, portability, and comparability—made a new scale of coordination possible, and with it a new kind of political authority. Scott (1998) shows the modern state as a creature of the archive, the census, and the code of law, seeing and governing through writing.</w:t>
      </w:r>
    </w:p>
    <w:p>
      <w:pPr>
        <w:pStyle w:val="BodyText"/>
      </w:pPr>
      <w:r>
        <w:t xml:space="preserve">The same properties that let the state govern let its subjects contest it. A literate public could read what the state wrote, lay one pronouncement beside another, and apply critical reason to authority (Habermas, 1962/1989), and the print-borne imagining of a shared community underwrote the democratic nation-state (B. Anderson, 1983/2006). Democratic sovereignty rests on literacy in this constitutive sense: citizens govern themselves to the degree they can read what institutions write and hold those institutions to account through textual means (Nussbaum, 2006; Sen, 1999).</w:t>
      </w:r>
    </w:p>
    <w:p>
      <w:pPr>
        <w:pStyle w:val="BodyText"/>
      </w:pPr>
      <w:r>
        <w:t xml:space="preserve">Literacy was a clerical monopoly for most of its history, so those who could write governed those who could not, and the reach of democratic sovereignty tracked the spread of the competence rather than the invention of the medium. Media theory has long paired forms of authority with the media that carry them, from Innis (1951) on how a civilization’s dominant medium biases its form of power to Eisenstein (1979) on the printing press and the authority of church and state; a sovereignty and its competence form together, and no sovereignty can be contested by those who lack the competence its medium requires.</w:t>
      </w:r>
    </w:p>
    <w:bookmarkEnd w:id="12"/>
    <w:bookmarkStart w:id="13" w:name="digital-sovereignty-as-extended-literacy"/>
    <w:p>
      <w:pPr>
        <w:pStyle w:val="Heading3"/>
      </w:pPr>
      <w:r>
        <w:t xml:space="preserve">2.3 Digital sovereignty as extended literacy</w:t>
      </w:r>
    </w:p>
    <w:p>
      <w:pPr>
        <w:pStyle w:val="FirstParagraph"/>
      </w:pPr>
      <w:r>
        <w:t xml:space="preserve">In its regulatory strand, digital sovereignty is the literate competence carried into the digital domain: the ability of states, organizations, and communities to exercise control over their digital infrastructures, data, and technologies (Floridi, 2020; Hummel et al., 2021; Pohle &amp; Thiel, 2020). The AI Act classifies systems and imposes documentation and transparency duties, the GDPR establishes data-subject rights exercised through notice, consent, access, and record-keeping, and NIS2 mandates written cybersecurity governance, each a mechanism by which an actor with enough legal, technical, and regulatory literacy can inspect a system, compare it against a standard, and hold its operator to account (Fratini et al., 2024; Schmuntzsch et al., 2025). That strand governs by making the digital object legible and by attaching consequences to what the legible object shows. In contrast, an industrial strand—sovereign cloud, domestic capacity, data localization, procurement—works instead through jurisdiction and ownership, and the literacy frame reaches it only partly. The regulatory strand is where the continuity with literacy is tightest.</w:t>
      </w:r>
    </w:p>
    <w:p>
      <w:pPr>
        <w:pStyle w:val="BodyText"/>
      </w:pPr>
      <w:r>
        <w:t xml:space="preserve">Two changes in kind mark the sequence, and only the first is complete: speech to writing is finished, a scribe working a different medium from a better speaker, while writing to algorithmic mediation is under way, and section 4 argues that it is a change of the same order in the regime of coordination. Digital sovereignty sits inside the second era: a compliance officer is a reader, working new registers on new material.</w:t>
      </w:r>
    </w:p>
    <w:p>
      <w:pPr>
        <w:pStyle w:val="BodyText"/>
      </w:pPr>
      <w:r>
        <w:t xml:space="preserve">The nesting explains a characteristic error. Because each competence is real and hard-won, its holders meet a new situation with the competence they already have, and faced with platform coordination, the literate response is to demand more disclosure, more documentation, more rights to read, because reading is what the literate know how to do. The response addresses the layer the competence can grasp and leaves untouched the layer it cannot.</w:t>
      </w:r>
    </w:p>
    <w:bookmarkEnd w:id="13"/>
    <w:bookmarkEnd w:id="14"/>
    <w:bookmarkStart w:id="18" w:name="X12415ccfb0df2f787d2960c3f59718ec17ebbb9"/>
    <w:p>
      <w:pPr>
        <w:pStyle w:val="Heading2"/>
      </w:pPr>
      <w:r>
        <w:t xml:space="preserve">3. The platform turn: coordination through an opaque, interested mediator</w:t>
      </w:r>
    </w:p>
    <w:p>
      <w:pPr>
        <w:pStyle w:val="FirstParagraph"/>
      </w:pPr>
      <w:r>
        <w:t xml:space="preserve">Disclosure is the modality European regulation reaches for, and platform coordination is the case where it fails, because of what the coordinated actor is enrolled in.</w:t>
      </w:r>
    </w:p>
    <w:p>
      <w:pPr>
        <w:pStyle w:val="BodyText"/>
      </w:pPr>
      <w:r>
        <w:t xml:space="preserve">Organizational theory recognizes three mechanisms for coordinating economic activity: markets coordinate through price, hierarchies through authority, and networks through trust and reciprocity (Adler, 2001; Powell, 1990; G. F. Thompson, 2003; Williamson, 1975). Stark and Pais (2020) and Stark and Vanden Broeck (2024) read platforms as a fourth term: where actors in hierarchies command, in markets contract, and in networks collaborate, on platforms they are co-opted, enrolled into an algorithmic system without delegated authority and without the explicit contracts that mark employment or exchange. Vallas and Schor (2020) reach a compatible conclusion from a different direction, treating platforms as a distinct governance mechanism and describing the platform as playing</w:t>
      </w:r>
      <w:r>
        <w:t xml:space="preserve"> </w:t>
      </w:r>
      <w:r>
        <w:t xml:space="preserve">“the role of </w:t>
      </w:r>
      <w:r>
        <w:rPr>
          <w:i/>
          <w:iCs/>
        </w:rPr>
        <w:t xml:space="preserve">tertius gaudens</w:t>
      </w:r>
      <w:r>
        <w:t xml:space="preserve"> —</w:t>
      </w:r>
      <w:r>
        <w:t xml:space="preserve"> </w:t>
      </w:r>
      <w:r>
        <w:t xml:space="preserve">‘the third who rejoices’</w:t>
      </w:r>
      <w:r>
        <w:t xml:space="preserve"> </w:t>
      </w:r>
      <w:r>
        <w:t xml:space="preserve">— as in Simmel’s classic theory of the triad”</w:t>
      </w:r>
      <w:r>
        <w:t xml:space="preserve"> </w:t>
      </w:r>
      <w:r>
        <w:t xml:space="preserve">(p. 282). Kellogg et al. (2020) likewise find algorithmic control distinct from the technical and bureaucratic control employers have used for a century.</w:t>
      </w:r>
    </w:p>
    <w:p>
      <w:pPr>
        <w:pStyle w:val="BodyText"/>
      </w:pPr>
      <w:r>
        <w:t xml:space="preserve">The coordination logic—price, authority, trust—is old. Platforms largely run the existing logics in algorithmic form (algorithmic pricing that clears supply and demand, algorithmic command that assigns and deactivates, algorithmic reputation that scores and ranks, interwoven task by task within a single platform; Robinson et al., 2026), the topology is old too: a third party standing between two others who never deal directly has been the broker’s, the dealer’s, and the auctioneer’s position for centuries, the sociological analysis of the triad is itself a century old (Simmel, 1908/1950), and network sociology built a literature on the profits of that position, from the broker who bridges disconnected others (Burt, 2004) to the broker who joins the parties it stands between (Obstfeld, 2005). The platform occupies the mediating position that J. D. Thompson (1967) named a mediating technology, linking parties who would otherwise never transact. What is new is what the conjunction of features does to governance: the mediator is opaque, in that high-dimensional systems produce its determinations and those determinations resist interpretation; it is adaptive, reconfigured continuously and without notice; and the interest it carries is not the algorithm’s but the firm’s, the owner pursuing objectives of its own and retuning the system in their pursuit, so the apparatus that coordinates the parties is set by a party with a stake in the outcome. None of the three is new; together they defeat disclosure as a way of governing. The coordinated actor takes no orders from a manager and signs no negotiated deal. Yet, the platform draws it into a system that assigns, ranks, prices, and recommends, whose rules it cannot see and whose objectives it does not share, and the system’s ordinary operation produces its compliance.</w:t>
      </w:r>
    </w:p>
    <w:p>
      <w:pPr>
        <w:pStyle w:val="BodyText"/>
      </w:pPr>
      <w:r>
        <w:t xml:space="preserve">Co-optation is the right word for that enrollment, because Selznick used it for two things. His informal co-optation absorbed outside actors into an organization’s leadership and gave them real influence in exchange for their compliance. His formal co-optation did not: it</w:t>
      </w:r>
      <w:r>
        <w:t xml:space="preserve"> </w:t>
      </w:r>
      <w:r>
        <w:t xml:space="preserve">“does not envision the transfer of actual power. The forms of participation are emphasized, but action is channeled to fulfill the administrative functions while preserving the locus of significant decision in the hands of the initiating group”</w:t>
      </w:r>
      <w:r>
        <w:t xml:space="preserve"> </w:t>
      </w:r>
      <w:r>
        <w:t xml:space="preserve">(Selznick, 1949, pp. 13–14). Platform enrollment is formal co-optation with even the forms of participation removed: the seller has no seat, and no ceremony of consultation, only a determination, and the term is narrowed along Selznick’s own axis.</w:t>
      </w:r>
    </w:p>
    <w:bookmarkStart w:id="15" w:name="the-mediated-triad"/>
    <w:p>
      <w:pPr>
        <w:pStyle w:val="Heading3"/>
      </w:pPr>
      <w:r>
        <w:t xml:space="preserve">3.1 The mediated triad</w:t>
      </w:r>
    </w:p>
    <w:p>
      <w:pPr>
        <w:pStyle w:val="FirstParagraph"/>
      </w:pPr>
      <w:r>
        <w:t xml:space="preserve">Co-optation on a platform has a structure, and the structure is triadic: a driver is coordinating with a rider she will never meet, through a system that reads her behavior and the rider’s at once and commits determinations, about routing, pricing, matching, ranking, and deactivation, that neither of them controls, and the rider is in the same position from the other side, the system standing between them and pursuing objectives set by a firm that neither of them works for (Kellogg et al., 2020; Möhlmann et al., 2023).</w:t>
      </w:r>
    </w:p>
    <w:p>
      <w:pPr>
        <w:pStyle w:val="BodyText"/>
      </w:pPr>
      <w:r>
        <w:t xml:space="preserve">The firm’s objectives need not align with the parties whose coordination the system carries out. It optimizes for the firm’s ends, which can diverge sharply from the interests of the workers, sellers, and users enrolled in it (Zuboff, 2019). Simmel’s </w:t>
      </w:r>
      <w:r>
        <w:rPr>
          <w:i/>
          <w:iCs/>
        </w:rPr>
        <w:t xml:space="preserve">tertius gaudens</w:t>
      </w:r>
      <w:r>
        <w:t xml:space="preserve"> is the third party who profits from standing between two others; the platform holds that position and runs it as a system, so its determinations constitute the coordination.</w:t>
      </w:r>
    </w:p>
    <w:bookmarkEnd w:id="15"/>
    <w:bookmarkStart w:id="16" w:name="why-disclosure-cannot-reach-it"/>
    <w:p>
      <w:pPr>
        <w:pStyle w:val="Heading3"/>
      </w:pPr>
      <w:r>
        <w:t xml:space="preserve">3.2 Why disclosure cannot reach it</w:t>
      </w:r>
    </w:p>
    <w:p>
      <w:pPr>
        <w:pStyle w:val="FirstParagraph"/>
      </w:pPr>
      <w:r>
        <w:t xml:space="preserve">Five features of platform coordination block the literate model of accountability, each at a different point.</w:t>
      </w:r>
    </w:p>
    <w:p>
      <w:pPr>
        <w:pStyle w:val="BodyText"/>
      </w:pPr>
      <w:r>
        <w:t xml:space="preserve">The first feature, opacity, is that high-dimensional systems produce determinations that resist interpretation even when the code is released. Burrell (2016) distinguishes three opacities: the intentional kind, the kind that follows from technical illiteracy, and the kind intrinsic to the scale and mathematics of machine learning. The third survives the release of source code, because the behavior of a model across millions of parameters and cases is not legible the way a statute is, and one can read the code and still not know what the system will do.</w:t>
      </w:r>
    </w:p>
    <w:p>
      <w:pPr>
        <w:pStyle w:val="BodyText"/>
      </w:pPr>
      <w:r>
        <w:t xml:space="preserve">The second feature, adaptivity, is that a ranking system is retuned continuously. Hence, a disclosure describes a configuration that may not survive the quarter, whereas a statute holds still long enough to be read, compared, and contested. Adaptivity defeats disclosure more decisively than opacity does, because it defeats even a complete disclosure.</w:t>
      </w:r>
    </w:p>
    <w:p>
      <w:pPr>
        <w:pStyle w:val="BodyText"/>
      </w:pPr>
      <w:r>
        <w:t xml:space="preserve">The third feature, standing, is that reading without a channel to act produces no accountability. Ananny and Crawford (2018) show that the transparency ideal fails when no institution can act on what it sees: a disclosure that no party has standing to contest is a fact without consequence.</w:t>
      </w:r>
    </w:p>
    <w:p>
      <w:pPr>
        <w:pStyle w:val="BodyText"/>
      </w:pPr>
      <w:r>
        <w:t xml:space="preserve">The fourth feature, leverage, is that the actors who most need to contest the system have no leverage. Platform-dependent entrepreneurs operate under power asymmetries that diversification cannot relieve, because in many sectors no alternative platform exists at the required scale (Cutolo &amp; Kenney, 2021). Workers under opaque algorithmic evaluation inhabit what Rahman (2021) calls an invisible cage: they react to a system whose rules they cannot see, adjusting their behavior to a shifting target, and the reaction is itself a form of control. The flexibility such platforms advertise is real, and it operates inside that control: a worker chooses her hours and cannot see what her choices are measured against (Wood et al., 2019).</w:t>
      </w:r>
    </w:p>
    <w:p>
      <w:pPr>
        <w:pStyle w:val="BodyText"/>
      </w:pPr>
      <w:r>
        <w:t xml:space="preserve">The fifth feature, disclosure as the dominant modality, is that the instrument European regulation reaches for is literate. Hildebrandt (2015) distinguishes the mode of law that operates through written rules from the modes that operate through code and data, and argues that the first cannot straightforwardly govern the second. Recent European instruments do reach into ranking and automated decisions: the Platform-to-Business Regulation obliges platforms to disclose the main parameters of ranking, the Digital Services Act adds recommender transparency and researcher access, and the Digital Markets Act constrains gatekeeper conduct. What these share is the literate wager that a legible object placed before an actor who can act on it will hold its operator to account. Article 22 of the GDPR belongs to a different family: it gives a natural person subject to a solely automated decision the right to obtain human intervention and to contest the outcome. That is case-level standing already in hard law, and section 7 places it among the voice instruments. Its threshold is high, its practice thin, and its protection stops at the natural person, so the platform-dependent firm falls outside it. Against opaque and adaptive coordination, the wager mostly fails, and the disclosures that succeed reproduce the standing gap Ananny and Crawford (2018) name (Cohen, 2017; Pasquale, 2023). Surveys of the sovereignty concept confirm the residue: Fratini et al. (2024) sort existing models of digital sovereignty as rights-based, market-oriented, centralizing, or state-based, and judge them for whether they combine comprehensive regulation with responsiveness. None of that sorting addresses the coordination through which platforms enroll and bind.</w:t>
      </w:r>
    </w:p>
    <w:p>
      <w:pPr>
        <w:pStyle w:val="BodyText"/>
      </w:pPr>
      <w:r>
        <w:t xml:space="preserve">Disclosure makes an object legible; what the coordinated actor needs is standing.</w:t>
      </w:r>
    </w:p>
    <w:bookmarkEnd w:id="16"/>
    <w:bookmarkStart w:id="17" w:name="X324df13ac7d808150f01bcacd5d6f654bee03f8"/>
    <w:p>
      <w:pPr>
        <w:pStyle w:val="Heading3"/>
      </w:pPr>
      <w:r>
        <w:t xml:space="preserve">3.3 The political economy of interested mediation</w:t>
      </w:r>
    </w:p>
    <w:p>
      <w:pPr>
        <w:pStyle w:val="FirstParagraph"/>
      </w:pPr>
      <w:r>
        <w:t xml:space="preserve">In the mediated triad, both parties must pass through the third party to produce anything at all. That structural position gives the mediator bottleneck power (Rochet &amp; Tirole, 2003), whereas parties who transact directly divide the surplus of their exchange between them.</w:t>
      </w:r>
    </w:p>
    <w:p>
      <w:pPr>
        <w:pStyle w:val="BodyText"/>
      </w:pPr>
      <w:r>
        <w:t xml:space="preserve">Whether the power converts into rent depends on which side can shop around. Armstrong (2006) named the configuration a competitive bottleneck: where one side single-homes, committing to a single platform, and the other multi-homes across several platforms; each platform holds a monopoly over access to its own single-homing users and extracts from the multi-homing side, which must pay every platform to reach the users behind it. Platforms compete for the single-homing side and often subsidize it, as application stores show: consumers hold one phone operating system and pay nothing for the store. At the same time, developers publish on both and pay the commission, because reaching each population requires going through its gatekeeper.</w:t>
      </w:r>
    </w:p>
    <w:p>
      <w:pPr>
        <w:pStyle w:val="BodyText"/>
      </w:pPr>
      <w:r>
        <w:t xml:space="preserve">A faithful mediator, optimizing only for coordinating the parties, would still hold bottleneck power; a mediator optimizing for its own objectives reshapes coordination around those objectives, and the coordinated are enrolled in a logic that need not serve them. An applicant-tracking system tuned to the hirer’s convenience, a dispatcher tuned to the platform’s utilization targets, a feed tuned to engagement over what its users would choose — each authors a coordination whose terms are set by an interest the coordinated parties do not share and cannot see.</w:t>
      </w:r>
    </w:p>
    <w:p>
      <w:pPr>
        <w:pStyle w:val="BodyText"/>
      </w:pPr>
      <w:r>
        <w:t xml:space="preserve">Opacity preserves the rent. O’Reilly et al. (2024) argue that platforms extract rents through algorithmic control over the allocation of attention, that the market for that allocation is opaque, and that the rents follow from discretion over allocation rather than from any service rendered. Cohen (2017) documents the strategy in operation: platforms treat algorithmic logics as zones of exclusivity,</w:t>
      </w:r>
      <w:r>
        <w:t xml:space="preserve"> </w:t>
      </w:r>
      <w:r>
        <w:t xml:space="preserve">“extracting transparency from users but shielding basic operational knowledge”</w:t>
      </w:r>
      <w:r>
        <w:t xml:space="preserve"> </w:t>
      </w:r>
      <w:r>
        <w:t xml:space="preserve">(p. 154) and deploying opacity in litigation to defeat the identification of affected classes (p. 182). Sekar and Siddiq (2026) reach the same conclusion formally, finding that a platform does better disclosing partial rather than complete information about buyer risk, because</w:t>
      </w:r>
      <w:r>
        <w:t xml:space="preserve"> </w:t>
      </w:r>
      <w:r>
        <w:t xml:space="preserve">“full transparency diminishes the platform’s protective value and intensifies disintermediation incentives”</w:t>
      </w:r>
      <w:r>
        <w:t xml:space="preserve"> </w:t>
      </w:r>
      <w:r>
        <w:t xml:space="preserve">(Abstract). A transparent bottleneck would still be a bottleneck, and a disclosed objective the coordinated actor has no standing to contest is still an objective imposed on it.</w:t>
      </w:r>
    </w:p>
    <w:bookmarkEnd w:id="17"/>
    <w:bookmarkEnd w:id="18"/>
    <w:bookmarkStart w:id="19" w:name="X8df84701cffe6a4ae872c2e3749886d38ae39af"/>
    <w:p>
      <w:pPr>
        <w:pStyle w:val="Heading2"/>
      </w:pPr>
      <w:r>
        <w:t xml:space="preserve">4. Algorithmacy: the sensibility for the platform era</w:t>
      </w:r>
    </w:p>
    <w:p>
      <w:pPr>
        <w:pStyle w:val="FirstParagraph"/>
      </w:pPr>
      <w:r>
        <w:t xml:space="preserve">Working a platform well takes a competence that reading does not supply, and the companion paper to this chapter names it algorithmacy: the competence through which an actor coordinates with another party through an algorithmic third party that reads both of them and commits determinations neither controls (Author, 2026). It has three parts. The first part, inferential, is the capacity to model the behavior of a system one cannot see, forming and revising a working theory of how it sorts and optimizes from the evidence of its outputs. The second, translational, is the capacity to render one’s own conduct into the terms the system reads, and to read the system’s determinations back into consequences for oneself and one’s counterpart. The third, temporal, is the capacity to hold a strategy together across a system whose rules shift without notice.</w:t>
      </w:r>
    </w:p>
    <w:p>
      <w:pPr>
        <w:pStyle w:val="BodyText"/>
      </w:pPr>
      <w:r>
        <w:t xml:space="preserve">The literature already names the three parts and holds them together. DeVito (2021) defines algorithmic literacy as</w:t>
      </w:r>
      <w:r>
        <w:t xml:space="preserve"> </w:t>
      </w:r>
      <w:r>
        <w:t xml:space="preserve">“the capacity and opportunity to be aware of both the presence and impact of algorithmically-driven systems on self- or collaboratively-identified goals, and the capacity and opportunity to crystalize this understanding into a strategic use of these systems to accomplish said goals”</w:t>
      </w:r>
      <w:r>
        <w:t xml:space="preserve"> </w:t>
      </w:r>
      <w:r>
        <w:t xml:space="preserve">(p. 339:3). His account of adaptive folk theorization already holds that capacity together across platforms that keep changing. Jarrahi and Sutherland (2019) coined</w:t>
      </w:r>
      <w:r>
        <w:t xml:space="preserve"> </w:t>
      </w:r>
      <w:r>
        <w:t xml:space="preserve">“algorithmic competencies”</w:t>
      </w:r>
      <w:r>
        <w:t xml:space="preserve"> </w:t>
      </w:r>
      <w:r>
        <w:t xml:space="preserve">for how gig workers understand and appropriate the systems that manage them. Sutherland et al. (2020) describe</w:t>
      </w:r>
      <w:r>
        <w:t xml:space="preserve"> </w:t>
      </w:r>
      <w:r>
        <w:t xml:space="preserve">“gig literacies”</w:t>
      </w:r>
      <w:r>
        <w:t xml:space="preserve"> </w:t>
      </w:r>
      <w:r>
        <w:t xml:space="preserve">from a study that interviewed freelancers and their clients together. Dogruel et al. (2022) built a validated scale for algorithm literacy as awareness, understanding, and skill, and critical-literacy scholarship adds the reflexive and tactical capacity to identify how one’s data are used and to act on it (Pangrazio &amp; Selwyn, 2019; Sander, 2020). A line in human–computer interaction has documented the practice directly, as ordinary users build and revise folk theories of the feeds that curate them (Eslami et al., 2016). The algorithmic-management literature has found the same thing in the field: platform workers building informal, iteratively revised theories of the algorithm that manages them (Möhlmann et al., 2023), and shaping their conduct in advance to pacify a system they cannot see (Bucher et al., 2021).</w:t>
      </w:r>
    </w:p>
    <w:p>
      <w:pPr>
        <w:pStyle w:val="BodyText"/>
      </w:pPr>
      <w:r>
        <w:t xml:space="preserve">Algorithmacy adds the setting, and the setting changes what the competence has to do: each account above describes an actor working a system that acts on it, whereas algorithmacy describes an actor working a system that simultaneously matches it to a counterpart and scores how that match goes. The actor exercises competence on two relationships at once, and the second is legible only through its effects on the first. Reviewing algorithm-literacy research, Gagričin et al. (2026) call for domain-specific constructs rather than a single general capacity. Algorithmacy is one — the competence indexed to triadic coordination — and the novelty claimed against these accounts is that index and nothing larger. The change in kind that section 2.3 announced belongs to the regime: the three capacities are continuous with algorithmic literacy, and the coordination they must now work — through an opaque, adaptive, interested mediator — is discontinuous with the persistent and comparable document.</w:t>
      </w:r>
    </w:p>
    <w:p>
      <w:pPr>
        <w:pStyle w:val="BodyText"/>
      </w:pPr>
      <w:r>
        <w:t xml:space="preserve">Curchod et al. (2020) show what that looks like on a live platform. Studying sellers, buyers, and eBay’s feedback system, they find sellers managing buyers to control how the system reads them, because buyer ratings feed search rank and account suspension. Sellers contact buyers directly to head off negative feedback before it is filed, and what results is an</w:t>
      </w:r>
      <w:r>
        <w:t xml:space="preserve"> </w:t>
      </w:r>
      <w:r>
        <w:t xml:space="preserve">“implicit coalition between buyers and the platform owner”</w:t>
      </w:r>
      <w:r>
        <w:t xml:space="preserve"> </w:t>
      </w:r>
      <w:r>
        <w:t xml:space="preserve">(Abstract) that the seller must work around while depending on both.</w:t>
      </w:r>
    </w:p>
    <w:p>
      <w:pPr>
        <w:pStyle w:val="BodyText"/>
      </w:pPr>
      <w:r>
        <w:t xml:space="preserve">A prime example of the competence at work is an ordinary week on a ranking platform. A seller’s placement drops, and she checks the obvious things — price, stock, a lapsed promotion — which are fine; watching which listings fell and which held, she sees that the fall tracks the items where buyers had opened disputes, including the ones resolved in her favor, so the system is reading the existence of the dispute rather than its outcome. She therefore changes how she deals with buyers: she messages first at the smallest sign of trouble, absorbs returns she could contest, and prices the difference in. She has read nothing, because there was nothing to read; she has inferred what the system rewards from the movement of her own listings, rendering her conduct toward a counterpart into the terms she believes the system reads. She will do it again in six months when the weighting changes. A seller without the competence sees only that sales fell, and waits, or blames the market, or abandons a channel that was working.</w:t>
      </w:r>
    </w:p>
    <w:p>
      <w:pPr>
        <w:pStyle w:val="BodyText"/>
      </w:pPr>
      <w:r>
        <w:t xml:space="preserve">None of that is reading, because the seller guidelines do not contain what she needs to know, and none of it is modeling a system on its own: she is managing a relationship with a buyer under the constraint that a third party is scoring that relationship on terms she has to guess. Her position beside a competitor who lacks that competence is like a literate merchant beside an illiterate one in an economy run on written contracts.</w:t>
      </w:r>
    </w:p>
    <w:p>
      <w:pPr>
        <w:pStyle w:val="BodyText"/>
      </w:pPr>
      <w:r>
        <w:t xml:space="preserve">The competence is unevenly held, and the unevenness has a pattern, because building it costs time, attention, and often paid analysts and tooling that read a platform’s signals at a scale a small operator cannot match. Hence, the actors best placed to model the system are the large ones already advantaged within it. Survey evidence supports this: algorithmic knowledge varies with socioeconomic advantage instead of spreading evenly across those subject to it (Cotter &amp; Reisdorf, 2020). Petre et al. (2019) identify a mechanism that maintains the gradient. Platforms treat attempts to work the system as illegitimate</w:t>
      </w:r>
      <w:r>
        <w:t xml:space="preserve"> </w:t>
      </w:r>
      <w:r>
        <w:t xml:space="preserve">“gaming,”</w:t>
      </w:r>
      <w:r>
        <w:t xml:space="preserve"> </w:t>
      </w:r>
      <w:r>
        <w:t xml:space="preserve">and the accusation falls hardest on producers who are not already established, so actors with the least room to absorb a penalty are most exposed to one for acquiring the competence. The platform, for its part, does more than neglect to make its rules legible, since opacity preserves the rent (section 3.3). Coordinative sovereignty, which algorithmacy makes possible, therefore concentrates where algorithmacy is already held.</w:t>
      </w:r>
    </w:p>
    <w:p>
      <w:pPr>
        <w:pStyle w:val="BodyText"/>
      </w:pPr>
      <w:r>
        <w:t xml:space="preserve">The claim that a change of communicative medium is a change in kind descends from the orality–literacy scholarship (Goody, 1977; Ong, 1982), and its strong version, that writing restructures the mind, did not survive the ethnographers, who showed literacy’s cognitive effects to be practice-specific and socially embedded (Scribner &amp; Cole, 1981; Street, 1984). The claim concerns coordination, whatever the truth about individual cognition. Oracy, literacy, and algorithmacy name three coordination regimes: coordination through presence and memory, through the persistent and comparable document, and through the opaque and adaptive algorithmic mediator. Each regime makes possible forms of authority the prior regime cannot instantiate, and in that infrastructural sense the transitions are changes in kind. Street’s caution applies to the competence rather than to the regime: there is no single algorithmacy any more than there is a single literacy, and what an actor needs to know differs across a dispatch system, a ranking system, and a credit-scoring system. A citizen with excellent legal and technical literacy who cannot model the system coordinating her stands where a fluent speaker once stood before a written contract in a script she could not read. She can perceive that something binds her, and she cannot work within it. Whether that bind is one she can leave depends on the coordination’s rules, and that property can be checked.</w:t>
      </w:r>
    </w:p>
    <w:bookmarkEnd w:id="19"/>
    <w:bookmarkStart w:id="26" w:name="X23d0760604ffb49f459351a27f64a7a8a77fedd"/>
    <w:p>
      <w:pPr>
        <w:pStyle w:val="Heading2"/>
      </w:pPr>
      <w:r>
        <w:t xml:space="preserve">5. A diagnostic: necessary and contingent mediators</w:t>
      </w:r>
    </w:p>
    <w:p>
      <w:pPr>
        <w:pStyle w:val="FirstParagraph"/>
      </w:pPr>
      <w:r>
        <w:t xml:space="preserve">The diagnostic is two operations, related yet different, that can disagree: factoring asks whether the coordination is triadic as it stands, and the bypass asks whether it would stay triadic if an external constraint were lifted.</w:t>
      </w:r>
    </w:p>
    <w:bookmarkStart w:id="20" w:name="X586926fae6deff6406a1b405d418b8ff96f6c63"/>
    <w:p>
      <w:pPr>
        <w:pStyle w:val="Heading3"/>
      </w:pPr>
      <w:r>
        <w:t xml:space="preserve">5.1 When is the coordination genuinely triadic?</w:t>
      </w:r>
    </w:p>
    <w:p>
      <w:pPr>
        <w:pStyle w:val="FirstParagraph"/>
      </w:pPr>
      <w:r>
        <w:t xml:space="preserve">The first operation, factoring, asks whether the three parties — a worker, a mediator, and a counterpart — really act as one system, or whether they only look connected. In some arrangements the mediator is a conduit: it relays between two parties who stay separate, and an actor governs by reading the interface and the terms. In others the mediator binds the two parties into a joint outcome that neither could produce alone and that no clean split of the arrangement reproduces. Call that second kind constitutive: governing it, if it can be governed at all, takes algorithmacy.</w:t>
      </w:r>
    </w:p>
    <w:p>
      <w:pPr>
        <w:pStyle w:val="BodyText"/>
      </w:pPr>
      <w:r>
        <w:t xml:space="preserve">Whether the arrangement really binds turns on its rules. The companion paper develops measures that grade the borderline cases, where the answer is close, or the parties are many (Author, 2026). The plain counterfactual is enough here: restore a direct link between the two parties and see whether the mediator still binds.</w:t>
      </w:r>
    </w:p>
    <w:bookmarkEnd w:id="20"/>
    <w:bookmarkStart w:id="21" w:name="the-bypass-test"/>
    <w:p>
      <w:pPr>
        <w:pStyle w:val="Heading3"/>
      </w:pPr>
      <w:r>
        <w:t xml:space="preserve">5.2 The bypass test</w:t>
      </w:r>
    </w:p>
    <w:p>
      <w:pPr>
        <w:pStyle w:val="FirstParagraph"/>
      </w:pPr>
      <w:r>
        <w:t xml:space="preserve">Triadic coordination comes in two kinds that look identical from the outside and differ decisively in what they permit. Restore the direct tie between two parties that a binding mediator forbids, and recompute whether the mediator still binds. Some mediators keep their grip; others lose it the moment the tie is open. A mediator that keeps its grip is necessary: its position rests on integrating work that the direct tie cannot reproduce. A clearinghouse that guarantees both sides of a trade, an exchange that matches many orders into one price, an interpreter between parties who share no language — each does something two parties dealing directly could not do for themselves, and handing them a direct line dislodges nothing. A mediator that loses its grip is contingent: its position rested on the absence of the direct tie, an absence usually held in place by an external constraint. A prime example is the franchised car dealer, which relays a vehicle from manufacturer to buyer and integrates nothing: it occupies the coordination because franchise law forbids the manufacturer from selling directly, and repealing the law dissolves the dealer’s position. A mediator that was never at the core of the coordination is reducible: the parties can already deal directly. A mediator that keeps a constitutive role under the open tie while losing some integration is a partial mediator: real integrating work alongside a bypassable gate.</w:t>
      </w:r>
    </w:p>
    <w:p>
      <w:pPr>
        <w:pStyle w:val="BodyText"/>
      </w:pPr>
      <w:r>
        <w:t xml:space="preserve">The counterfactual restores the capability of direct dealing, not a prior relationship, because the parties may never have met. The question is whether these two parties could reach each other at comparable cost if no rule, contract, or architecture stood in the way. For parties who already know of each other, the question is easy; for a function whose whole business is introducing strangers, it is the entire question, and the answer varies by actor. A traveler looking for a hotel chain she has used before can reach it directly, so the aggregation that would have introduced them is contingent for that booking. In contrast, a traveler who would never have learned that an independent hotel exists cannot, so the same function is doing integrating work no direct tie reproduces. A mediator’s classification therefore depends on which coordination is at issue. The diagnostic sorts functions for a given dependent party, and it does not sort platforms once and for all.</w:t>
      </w:r>
    </w:p>
    <w:p>
      <w:pPr>
        <w:pStyle w:val="BodyText"/>
      </w:pPr>
      <w:r>
        <w:t xml:space="preserve">This asks a different question from section 5.1, and the two answers need not agree. Factoring asks whether the coordination is triadic as it stands; the bypass asks whether it would stay triadic if an external constraint were lifted. A marketplace gate that today carries every buyer–seller match is irreducible as the system is currently wired, and it still dissolves the moment a rule forbidding direct contact is repealed. Reading irreducibility as necessity is how a contingent gate passes for an unavoidable one.</w:t>
      </w:r>
    </w:p>
    <w:p>
      <w:pPr>
        <w:pStyle w:val="BodyText"/>
      </w:pPr>
      <w:r>
        <w:t xml:space="preserve">The test resembles three others, and each operation differs. Brokerage research asks what a broker gains from standing between disconnected parties and whether another actor could occupy the position (Burt, 2004; Obstfeld, 2005), and Ryall and Sorenson (2007) formalize when a broker is essential to the value a coalition creates. Transaction cost economics asks whether a firm should perform a transaction internally or buy it (Williamson, 1975). Competition law’s essential-facilities doctrine asks whether an excluded rival could viably duplicate the facility it seeks access to. Each of these deletes or substitutes the mediator at a node, whereas the bypass test leaves the mediator in place and adds a tie at an edge.</w:t>
      </w:r>
    </w:p>
    <w:p>
      <w:pPr>
        <w:pStyle w:val="BodyText"/>
      </w:pPr>
      <w:r>
        <w:t xml:space="preserve">The two operations disagree, and the franchised dealer shows where. Delete the dealer, and under franchise law no other party may deliver a new vehicle in that territory, so the dealer is non-substitutable and every node test returns a mediator that cannot be removed; restore the manufacturer-to-buyer tie, and the dealer’s position evaporates. The neighboring tests cannot ask the second question, and not by oversight. Each holds the network of who may deal with whom fixed because each answers a question posed inside that network: Burt asks what a position yields given the ties that exist, Williamson asks how to govern a transaction given the legal environment, and a court asks whether to compel access given that the facility exists. The bypass test asks which of those constraints is load-bearing.</w:t>
      </w:r>
    </w:p>
    <w:p>
      <w:pPr>
        <w:pStyle w:val="BodyText"/>
      </w:pPr>
      <w:r>
        <w:t xml:space="preserve">The same divergence appears at the platform level, where it matters. A prime example is an app store’s control of in-app payments. Delete the store’s payment rail as a node and ask whether another rail could practicably reach the same users on that device at comparable cost: the installed base, the default checkout, and the cost of teaching users a second rail all answer no, so every node test returns a mediator that cannot be replaced. That result is about the rail, and it is not yet a verdict on the rule that makes the rail exclusive. Restore the developer-to-user payment edge, through sideloading or a link to an external purchase, and the rule’s force disappears, because a prohibition on a direct tie is a constraint rather than integrating work. The rail may still do authorizing and trust work the open edge does not reproduce, which is the split section 5.4 runs on a payment network: necessary or partial as a rail, contingent as a gate. Node and edge disagree on the gate; they need not disagree on the rail. The Digital Markets Act’s anti-steering obligations are the edge test a regulator runs on the gate.</w:t>
      </w:r>
    </w:p>
    <w:p>
      <w:pPr>
        <w:pStyle w:val="BodyText"/>
      </w:pPr>
      <w:r>
        <w:t xml:space="preserve">European competition law already runs this counterfactual on contract terms. Under the ancillary-restraints doctrine, a restriction escapes the prohibition on anticompetitive agreements only where</w:t>
      </w:r>
      <w:r>
        <w:t xml:space="preserve"> </w:t>
      </w:r>
      <w:r>
        <w:t xml:space="preserve">“the implementation of the main operation … would be impossible in the absence of the restriction in question”</w:t>
      </w:r>
      <w:r>
        <w:t xml:space="preserve"> </w:t>
      </w:r>
      <w:r>
        <w:t xml:space="preserve">(Case C-264/23, para. 53) — the same question, asked of a clause. The diagnostic generalizes that operation from clauses to a mediator’s functions, runs it from the dependent party’s position instead of a tribunal’s, and returns a strategy for that party, not a finding of legality. Given a mediator, a dependent party, and a set of rules, it asks which of the mediator’s functions would survive removing the prohibition on direct contact. It converts each answer into a course of action. Brokerage theory predicts the broker’s returns. Transaction cost economics prescribes a governance form to a party that can move its boundary. Essential facilities tells a court when to compel an excluded rival to access. None of the three returns a strategy to the party inside the coordination, and that party runs none of the three.</w:t>
      </w:r>
    </w:p>
    <w:p>
      <w:pPr>
        <w:pStyle w:val="BodyText"/>
      </w:pPr>
      <w:r>
        <w:t xml:space="preserve">What the counterfactual establishes is structural, and observed behavior can diverge from it. Hahl et al. (2016) find that brokered parties who do not perceive the gap between them do not attempt to close it, so a structurally contingent mediator can look unassailable in any behavioral record. Necessity is also not fixed: Gu and Zhu (2021), in a field experiment on a freelance marketplace, find that the platform’s own trust-building raises the rate at which parties transact around it, which gives a mediator a reason to withhold the very integration that would make it necessary.</w:t>
      </w:r>
    </w:p>
    <w:bookmarkEnd w:id="21"/>
    <w:bookmarkStart w:id="22" w:name="exit-and-voice"/>
    <w:p>
      <w:pPr>
        <w:pStyle w:val="Heading3"/>
      </w:pPr>
      <w:r>
        <w:t xml:space="preserve">5.3 Exit and voice</w:t>
      </w:r>
    </w:p>
    <w:p>
      <w:pPr>
        <w:pStyle w:val="FirstParagraph"/>
      </w:pPr>
      <w:r>
        <w:t xml:space="preserve">The diagnostic decides which sovereignty is available. Hirschman (1970) drew the distinction for organizations in decline: a member of a failing organization has two powers, exit, the power to leave, and voice, the power to stay and press for change. Bypassability is the availability of exit, whereas necessity produces no voice: it forecloses exit. It leaves voice as the residual lever, available against a contingent gate too, and the only lever left where the mediation is necessary. Whether a coordinated actor can leave becomes a designable fact, set by whether the mediator is contingent, and contingency is a policy and strategy variable. Scholars have already carried the pair to platforms, notably to the constrained voice of platform workers (Dasgupta et al., 2025).</w:t>
      </w:r>
    </w:p>
    <w:p>
      <w:pPr>
        <w:pStyle w:val="BodyText"/>
      </w:pPr>
      <w:r>
        <w:t xml:space="preserve">For a contingent mediator, exit is available in principle, because the mediator is held by a liftable constraint, so lifting the constraint restores the direct tie. Deregulation, mandated interoperability, an antitrust remedy, the breaking of an exclusive — each opens exit where the mediator is contingent. Platform economics reads the same fact through multihoming: where an actor can hold more than one platform at once, the bottleneck is contestable (Eisenmann et al., 2006). What holds many actors inside a contingent mediation is involuntary retention: lock-in, multihoming costs, sunk investment. Hirschman’s loyalty kept the voice-prone from leaving and thereby activated voice, whereas retention suppresses exit and activates nothing.</w:t>
      </w:r>
    </w:p>
    <w:p>
      <w:pPr>
        <w:pStyle w:val="BodyText"/>
      </w:pPr>
      <w:r>
        <w:t xml:space="preserve">For a necessary mediator, the bypass takes nothing, because the mediator’s position never rested on the tie’s absence. To demand independence from a necessary mediator is to demand the dissolution of the coordination itself. Only voice remains, and Hirschman’s own analysis blocks any easy confidence in it. He observed that exit does not reliably strengthen voice and can substitute for it: the customers most sensitive to quality are the first to leave, and their departure removes the complaints that would have forced a remedy, so a monopolist can be comforted by an alternative that removes the critics. Under a necessary mediator the difficulty is starker, because there is no exit to lend the critic leverage, and a captive population may resign itself sooner than complain, so voice is the only autonomy left exactly where it commands the least leverage.</w:t>
      </w:r>
    </w:p>
    <w:bookmarkEnd w:id="22"/>
    <w:bookmarkStart w:id="23" w:name="a-platform-is-a-portfolio-of-mediators"/>
    <w:p>
      <w:pPr>
        <w:pStyle w:val="Heading3"/>
      </w:pPr>
      <w:r>
        <w:t xml:space="preserve">5.4 A platform is a portfolio of mediators</w:t>
      </w:r>
    </w:p>
    <w:p>
      <w:pPr>
        <w:pStyle w:val="FirstParagraph"/>
      </w:pPr>
      <w:r>
        <w:t xml:space="preserve">The contingent/necessary pair just drawn does not describe firms. A real platform is several mediators wearing one name, and the diagnostic classifies functions, not firms. The same company can be necessary in one function and contingent in another, and the coordinated actor’s strategy differs by function. A payment network authorizes transactions, a determination that depends jointly on the merchant’s request and the issuer’s approval and that neither could produce alone, which is necessary integrating work. The same network enforces a rule against steering the customer toward a cheaper method at the till, a gate whose force comes from the card both parties already hold, which is contingent. A large marketplace fulfills orders through logistics that no direct seller-to-buyer tie reproduces at scale, which is necessary; it matches demand to supply, real integrating work that buyers can bypass for goods they already know, which is partial; it gates which seller a buyer sees, a toll sellers pay to pass, which is contingent; and it resells goods it buys, a plain conduit that a brand able to reach customers directly can route around, which is reducible: one firm, four kinds of mediator at once.</w:t>
      </w:r>
    </w:p>
    <w:p>
      <w:pPr>
        <w:pStyle w:val="BodyText"/>
      </w:pPr>
      <w:r>
        <w:t xml:space="preserve">A coordinated actor’s dependence is therefore not monolithic. Against a contingent gate, the move is toward exit: interoperability, portability, an alternative channel. Against a necessary function, exit is a mirage and the move is toward voice. Managers who read platform dependence as a single risk to diversify miss this.</w:t>
      </w:r>
    </w:p>
    <w:p>
      <w:pPr>
        <w:pStyle w:val="BodyText"/>
      </w:pPr>
      <w:r>
        <w:t xml:space="preserve">The coordinated actor contests the bypassable part and accepts the integrating one, treating them as separate decisions instead of averaging them into a single posture. Modularity research supplies the criterion for where the two come apart: cut at the thin crossing points, where the interface between functions is narrow enough that separating them costs little (Baldwin, 2008). Firms that both make and buy the same input are not hedging between two options but pursuing a distinct strategy with its own logic (Parmigiani, 2007), and an actor that fights one function of a platform while depending on another is pursuing that same distinct strategy.</w:t>
      </w:r>
    </w:p>
    <w:bookmarkEnd w:id="23"/>
    <w:bookmarkStart w:id="25" w:name="Xc33ca81404189600438cfb83c995a4bb25e14cf"/>
    <w:p>
      <w:pPr>
        <w:pStyle w:val="Heading3"/>
      </w:pPr>
      <w:r>
        <w:t xml:space="preserve">5.5 The diagnostic at work: hotels and online travel agencies</w:t>
      </w:r>
    </w:p>
    <w:p>
      <w:pPr>
        <w:pStyle w:val="FirstParagraph"/>
      </w:pPr>
      <w:r>
        <w:t xml:space="preserve">A prime example of the diagnostic at work is the independent hotel that reaches many of its guests through an online travel agency. The agency does two very different things for its commission, which the European Competition Network’s monitoring exercise put at 10% to above 20% of each booking (European Competition Network, 2017): it aggregates demand, putting the hotel in front of travelers who would never have found it, and it has held rate parity clauses forbidding the hotel to price lower on its own site. C. K. Anderson (2009, 2011) named the first of these the billboard effect. He measured the lift in a hotel’s own direct reservations that follows from being listed on an agency at all, though later work has not consistently reproduced it (Beritelli &amp; Schegg, 2016).</w:t>
      </w:r>
    </w:p>
    <w:p>
      <w:pPr>
        <w:pStyle w:val="BodyText"/>
      </w:pPr>
      <w:r>
        <w:t xml:space="preserve">Restored for a traveler who already knows the hotel exists, the capability of direct dealing leaves the parity clause doing nothing: it was held in place by a contract, and it is contingent. Restored for a traveler who would never have learned that the hotel exists, no direct channel at comparable cost reproduces the introduction the agency performed. Demand aggregation survives the bypass for that traveler, and it is necessary: the verdict is a split, and it names two different instruments. Against the parity clause, the move is exit, pursued through contract law and competition enforcement. Against demand aggregation, exit is unavailable and the move is voice, pursued through terms the hotel has standing to contest.</w:t>
      </w:r>
    </w:p>
    <w:p>
      <w:pPr>
        <w:pStyle w:val="BodyText"/>
      </w:pPr>
      <w:r>
        <w:t xml:space="preserve">Europe has spent a decade opening the parity gate, allowing the two readings to be compared against an outcome. Major agencies abandoned wide parity clauses in 2015 under pressure from national competition authorities; several member states legislated against the clauses in the years that followed; and national enforcement had narrowed the clauses by 2021. In September 2024, the Court of Justice of the European Union held that parity clauses, wide and narrow alike, are not ancillary restraints and so fall within the prohibition on anticompetitive agreements (Case C-264/23), four months after</w:t>
      </w:r>
      <w:r>
        <w:t xml:space="preserve"> </w:t>
      </w:r>
      <w:hyperlink r:id="rId24">
        <w:r>
          <w:rPr>
            <w:rStyle w:val="Hyperlink"/>
          </w:rPr>
          <w:t xml:space="preserve">Booking.com</w:t>
        </w:r>
      </w:hyperlink>
      <w:r>
        <w:t xml:space="preserve"> </w:t>
      </w:r>
      <w:r>
        <w:t xml:space="preserve">was designated a gatekeeper under the Digital Markets Act.</w:t>
      </w:r>
    </w:p>
    <w:p>
      <w:pPr>
        <w:pStyle w:val="BodyText"/>
      </w:pPr>
      <w:r>
        <w:t xml:space="preserve">The two readings predict different things about that decade. Treat the agency as one substitutable intermediary, and removing the clause that blocked price competition should erode its position: hotels can undercut it on their own sites, so bookings should move to the direct channel. Treat it as a portfolio, and only a contingent function was removed, so the necessary function should hold, and dependence should not fall. Between 2013 and 2023, the agencies’ share of European hotel overnight stays rose from 19.7% to 29.6% while direct bookings fell from 57.6% to 50.9% (Schegg, 2024). Dependence did not fall as the gate came open; it deepened.</w:t>
      </w:r>
    </w:p>
    <w:p>
      <w:pPr>
        <w:pStyle w:val="BodyText"/>
      </w:pPr>
      <w:r>
        <w:t xml:space="preserve">The decade covers the period from the 2015 abandonment of wide parity to the national enforcement of 2021. The 2024 judgment postdates the last year of these data, and the increase itself owes something to mobile search and to consolidation among the agencies. The function-split predicts that dependence would hold once only the contingent gate opened; it is silent on the rise that occurred. The judgment sets up a test a later study can run. The sequence is still enough to sort the two readings: an actor treating the agency as one leaveable thing would have read the direction of travel backward. A hotel that spent the decade trying to leave mistook the necessary function for the contingent one, and against a necessary function only voice remains.</w:t>
      </w:r>
    </w:p>
    <w:bookmarkEnd w:id="25"/>
    <w:bookmarkEnd w:id="26"/>
    <w:bookmarkStart w:id="27" w:name="coordinative-sovereignty-a-definition"/>
    <w:p>
      <w:pPr>
        <w:pStyle w:val="Heading2"/>
      </w:pPr>
      <w:r>
        <w:t xml:space="preserve">6. Coordinative sovereignty: a definition</w:t>
      </w:r>
    </w:p>
    <w:p>
      <w:pPr>
        <w:pStyle w:val="FirstParagraph"/>
      </w:pPr>
      <w:r>
        <w:t xml:space="preserve">Where only voice remains, autonomy has to be reconceived. Independence has nothing to offer an actor who cannot leave, and reclaiming the infrastructure does nothing for the actor who must still coordinate through whatever infrastructure prevails.</w:t>
      </w:r>
    </w:p>
    <w:p>
      <w:pPr>
        <w:pStyle w:val="BodyText"/>
      </w:pPr>
      <w:r>
        <w:t xml:space="preserve">The political concept of coordinative sovereignty, understood as the autonomy proper to a necessary mediation, is the power to shape the terms on which one is mediated, to contest the mediator’s arbitrary power, and to hold a share in the governance of an arrangement the open tie does not dissolve. A share in governance specifies what residual voice should amount to, and the counterfactual does not deliver it on its own.</w:t>
      </w:r>
      <w:r>
        <w:t xml:space="preserve"> </w:t>
      </w:r>
      <w:r>
        <w:t xml:space="preserve">“Cannot leave”</w:t>
      </w:r>
      <w:r>
        <w:t xml:space="preserve"> </w:t>
      </w:r>
      <w:r>
        <w:t xml:space="preserve">names that structural fact: it does not name lock-in under a contingent gate, which section 5.3 assigned to exit as involuntary retention, nor irreducibility as the coordination is currently wired, which section 5.2 separated from necessity. The construct’s currency is effective voice — terms that hold because the coordinated actors have the standing to make them hold. The two sovereignties the platform situation puts out of reach, independence from the mediator and command of the infrastructure, form no part of it.</w:t>
      </w:r>
    </w:p>
    <w:p>
      <w:pPr>
        <w:pStyle w:val="BodyText"/>
      </w:pPr>
      <w:r>
        <w:t xml:space="preserve">The first strand, republican theory, takes freedom as non-domination, the absence of another’s arbitrary power, a stronger condition than the absence of interference (Pettit, 1997; Skinner, 1998). An actor can be left alone and still unfree if it lives at the mercy of a power that could interfere at will, on terms it cannot contest, which is the condition of the platform-dependent actor. Muldoon and Raekstad (2023) argue the case directly for algorithmic management, treating it as a socio-technical system in which owners and managers hold arbitrary power over those enrolled in it. A standing objection to that application remains: a ranking system is not an agent, so its power may not be arbitrary in the sense republican theory requires. Cicerchia (2022) supplies the answer, arguing that non-domination, as usually stated, has insufficient scope for structural domination, while an adequate account of structural domination still requires agency. The platform mediator’s interest is the firm’s, and the firm is an agent, which is why section 3 located it there.</w:t>
      </w:r>
    </w:p>
    <w:p>
      <w:pPr>
        <w:pStyle w:val="BodyText"/>
      </w:pPr>
      <w:r>
        <w:t xml:space="preserve">A second, related strand, relational autonomy, holds that autonomy is constituted through the relationships that structure a person (Mackenzie &amp; Stoljar, 2000; Nedelsky, 2011), so a relationship can enlarge autonomy or shrink it, and what matters is its shape. The apparent choice between being mediated and being autonomous dissolves: a well-shaped mediation enlarges the coordinated actor’s autonomy, a badly shaped one diminishes it, and the object of sovereignty is the shape.</w:t>
      </w:r>
    </w:p>
    <w:p>
      <w:pPr>
        <w:pStyle w:val="BodyText"/>
      </w:pPr>
      <w:r>
        <w:t xml:space="preserve">Markell (2008) adds a correction to non-domination, which protects without including. An actor secured against arbitrary power still holds no share in the determinations that govern it. Coordinative sovereignty asks for that share: a place in the determination, standing to participate in how the coordination is governed.</w:t>
      </w:r>
    </w:p>
    <w:p>
      <w:pPr>
        <w:pStyle w:val="BodyText"/>
      </w:pPr>
      <w:r>
        <w:t xml:space="preserve">Ostrom (1990) supplies the institutional form, and applying her to a platform takes one adjustment. The platform is not an unowned pasture: it is enclosed, owned, and tuned by the mediator, so the coordinated cannot simply convene and govern a resource that is already someone’s property. The commons literature has worked out what remains available under exactly that condition. Schlager and Ostrom (1992) separate the bundle of rights that make up property, distinguishing the claimant and proprietor positions, which carry rights of management and exclusion, from ownership proper, which carries the right of alienation. Their Maine lobster fishers hold de facto proprietorship over grounds the state owns, governing access and effort without holding title. That is the available claim: not collective ownership of the platform but collective-choice arrangements over the coordination’s rules, standing the owner cannot unilaterally rewrite without contest.</w:t>
      </w:r>
    </w:p>
    <w:p>
      <w:pPr>
        <w:pStyle w:val="BodyText"/>
      </w:pPr>
      <w:r>
        <w:t xml:space="preserve">Who bears this standing, a person or a firm? Both, because a relation defines the construct: whoever occupies the position of being coordinated through a necessary mediation bears coordinative sovereignty. Republican theory has already licensed the move, extending non-domination to corporate bodies while treating a corporate body’s freedom as valuable for its members’ sake (Pettit, 2016). A firm’s coordinative sovereignty matters because it secures what it does for the people who make it up. Where the two diverge, the members’ standing governs, and a reader may decline that priority and keep the rest. The construct is one; the measurement differs by level, and section 9 covers that.</w:t>
      </w:r>
    </w:p>
    <w:p>
      <w:pPr>
        <w:pStyle w:val="BodyText"/>
      </w:pPr>
      <w:r>
        <w:t xml:space="preserve">Most digital-sovereignty work asks who controls the infrastructure and answers with reclaimed control, whether by a state, a community, or a firm (Floridi, 2020; Pohle &amp; Thiel, 2020; Roberts et al., 2021). The move is not always centralizing, and Couture and Toupin (2019) document grassroots and emancipatory variants. Every variant answers the ownership question. Coordinative sovereignty asks what standing the coordinated actor holds and answers it without owning the infrastructure or leaving it. Repetto (2025), reviewing the field’s usages, counts accounts that recognize multiple coexisting digital sovereigns as innovations of the concept of sovereignty itself.</w:t>
      </w:r>
    </w:p>
    <w:p>
      <w:pPr>
        <w:pStyle w:val="BodyText"/>
      </w:pPr>
      <w:r>
        <w:t xml:space="preserve">Bannerman (2024) reads platform power through a relational and historical lens and works toward rebalancing the structural asymmetry. Functional sovereignty (Pasquale, 2023) and the platform sovereign (Cohen, 2017) theorize the authority platforms exercise over the coordinated. Coordinative sovereignty looks at the same relationship from the other end. Muldoon and Raekstad (2023) recommend cooperative ownership, and that remedy locates the wedge. They acknowledge that domination can survive a change of owner, and worry about managerial decay inside cooperatives. The remaining problem is structural: worker ownership can change who sets a necessary mediator’s rules, but it cannot make the mediator leaveable. A driver-owned dispatch platform still coordinates its drivers through a system no single driver can bypass. Hence, the question of standing within a necessary mediation outlives the question of who holds the title. E. Anderson (2017) makes the parallel argument for the firm, where the right to quit has long been treated as the answer to employer authority and does not dissolve it.</w:t>
      </w:r>
    </w:p>
    <w:p>
      <w:pPr>
        <w:pStyle w:val="BodyText"/>
      </w:pPr>
      <w:r>
        <w:t xml:space="preserve">Coordinative sovereignty is not worker rights or consumer protection, though it bears on both. Rights and protections are guarantees against a mediator’s conduct; coordinative sovereignty is a share in the mediator’s governance, and a platform can grant extensive protections to actors who hold no standing over how the coordination is authored. Transparency alone does not produce it: that is the standing gap named above. The construct takes the mediation as given, often as necessary, and asks what autonomy is possible within it. The mediator cannot be wished away, and freedom lives in the terms of the mediation.</w:t>
      </w:r>
    </w:p>
    <w:p>
      <w:pPr>
        <w:pStyle w:val="BodyText"/>
      </w:pPr>
      <w:r>
        <w:t xml:space="preserve">Algorithmacy is the precondition: an actor cannot contest a mediator’s arbitrary power without modeling how the mediator sorts and optimizes, cannot press for terms without translating between its conduct and the system’s, and cannot hold a share in governance across a shifting system without temporal coherence. The precondition governs exercise, not who is formally endowed with standing. An institution can grant standing before the competence is widely held, and whether that standing becomes real leverage or stays formal is what algorithmacy decides, which is why the competence and the institutions have to be built together.</w:t>
      </w:r>
    </w:p>
    <w:bookmarkEnd w:id="27"/>
    <w:bookmarkStart w:id="28" w:name="building-standing"/>
    <w:p>
      <w:pPr>
        <w:pStyle w:val="Heading2"/>
      </w:pPr>
      <w:r>
        <w:t xml:space="preserve">7. Building standing</w:t>
      </w:r>
    </w:p>
    <w:p>
      <w:pPr>
        <w:pStyle w:val="FirstParagraph"/>
      </w:pPr>
      <w:r>
        <w:t xml:space="preserve">Mandated interoperability and data portability lower the cost of the direct tie and restore a measure of the old sovereignty of independence where a mediator’s position is contingent, held by lock-in. Against a necessary mediator, the same instrument does something else entirely: a right to interoperate with a facility no one can bypass does not let the actor leave; it forces the mediator to grant access on regulated terms. That is a voice instrument, and competition law has long understood it as one under the essential-facilities logic it applies to infrastructure that cannot be duplicated. The Digital Markets Act’s access and interoperability obligations carry the logic into platform regulation. Reviewing the Act’s first years, the European Commission (2026) reports that messaging interoperability has brought new providers into the market, including a European SME, while judging it too early to extend the same obligation to social networking: an external study there showed mixed evidence, greater technical complexity, and limited demand. A regulator sorting functions by whether interoperability bites is running the diagnostic under another name.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w:t>
            </w:r>
          </w:p>
        </w:tc>
        <w:tc>
          <w:tcPr/>
          <w:p>
            <w:pPr>
              <w:pStyle w:val="Compact"/>
            </w:pPr>
            <w:r>
              <w:t xml:space="preserve">Against a contingent mediator</w:t>
            </w:r>
          </w:p>
        </w:tc>
        <w:tc>
          <w:tcPr/>
          <w:p>
            <w:pPr>
              <w:pStyle w:val="Compact"/>
            </w:pPr>
            <w:r>
              <w:t xml:space="preserve">Against a necessary mediator</w:t>
            </w:r>
          </w:p>
        </w:tc>
      </w:tr>
      <w:tr>
        <w:tc>
          <w:tcPr/>
          <w:p>
            <w:pPr>
              <w:pStyle w:val="Compact"/>
            </w:pPr>
            <w:r>
              <w:t xml:space="preserve">Interoperability and portability</w:t>
            </w:r>
          </w:p>
        </w:tc>
        <w:tc>
          <w:tcPr/>
          <w:p>
            <w:pPr>
              <w:pStyle w:val="Compact"/>
            </w:pPr>
            <w:r>
              <w:t xml:space="preserve">restores exit</w:t>
            </w:r>
          </w:p>
        </w:tc>
        <w:tc>
          <w:tcPr/>
          <w:p>
            <w:pPr>
              <w:pStyle w:val="Compact"/>
            </w:pPr>
            <w:r>
              <w:t xml:space="preserve">access on regulated terms, which is voice</w:t>
            </w:r>
          </w:p>
        </w:tc>
      </w:tr>
      <w:tr>
        <w:tc>
          <w:tcPr/>
          <w:p>
            <w:pPr>
              <w:pStyle w:val="Compact"/>
            </w:pPr>
            <w:r>
              <w:t xml:space="preserve">Antitrust and anti-steering remedies</w:t>
            </w:r>
          </w:p>
        </w:tc>
        <w:tc>
          <w:tcPr/>
          <w:p>
            <w:pPr>
              <w:pStyle w:val="Compact"/>
            </w:pPr>
            <w:r>
              <w:t xml:space="preserve">opens the bypass</w:t>
            </w:r>
          </w:p>
        </w:tc>
        <w:tc>
          <w:tcPr/>
          <w:p>
            <w:pPr>
              <w:pStyle w:val="Compact"/>
            </w:pPr>
            <w:r>
              <w:t xml:space="preserve">alters conduct, not dependence</w:t>
            </w:r>
          </w:p>
        </w:tc>
      </w:tr>
      <w:tr>
        <w:tc>
          <w:tcPr/>
          <w:p>
            <w:pPr>
              <w:pStyle w:val="Compact"/>
            </w:pPr>
            <w:r>
              <w:t xml:space="preserve">Contestability of individual decisions</w:t>
            </w:r>
          </w:p>
        </w:tc>
        <w:tc>
          <w:tcPr/>
          <w:p>
            <w:pPr>
              <w:pStyle w:val="Compact"/>
            </w:pPr>
            <w:r>
              <w:t xml:space="preserve">thin case-level channel (P2B; DSA Arts. 20–21)</w:t>
            </w:r>
          </w:p>
        </w:tc>
        <w:tc>
          <w:tcPr/>
          <w:p>
            <w:pPr>
              <w:pStyle w:val="Compact"/>
            </w:pPr>
            <w:r>
              <w:t xml:space="preserve">voice at the level of the case</w:t>
            </w:r>
          </w:p>
        </w:tc>
      </w:tr>
      <w:tr>
        <w:tc>
          <w:tcPr/>
          <w:p>
            <w:pPr>
              <w:pStyle w:val="Compact"/>
            </w:pPr>
            <w:r>
              <w:t xml:space="preserve">Collective bargaining</w:t>
            </w:r>
          </w:p>
        </w:tc>
        <w:tc>
          <w:tcPr/>
          <w:p>
            <w:pPr>
              <w:pStyle w:val="Compact"/>
            </w:pPr>
            <w:r>
              <w:t xml:space="preserve">marginal</w:t>
            </w:r>
          </w:p>
        </w:tc>
        <w:tc>
          <w:tcPr/>
          <w:p>
            <w:pPr>
              <w:pStyle w:val="Compact"/>
            </w:pPr>
            <w:r>
              <w:t xml:space="preserve">voice at the level of the rule</w:t>
            </w:r>
          </w:p>
        </w:tc>
      </w:tr>
      <w:tr>
        <w:tc>
          <w:tcPr/>
          <w:p>
            <w:pPr>
              <w:pStyle w:val="Compact"/>
            </w:pPr>
            <w:r>
              <w:t xml:space="preserve">Data trusts and data intermediaries</w:t>
            </w:r>
          </w:p>
        </w:tc>
        <w:tc>
          <w:tcPr/>
          <w:p>
            <w:pPr>
              <w:pStyle w:val="Compact"/>
            </w:pPr>
            <w:r>
              <w:t xml:space="preserve">leverage toward exit</w:t>
            </w:r>
          </w:p>
        </w:tc>
        <w:tc>
          <w:tcPr/>
          <w:p>
            <w:pPr>
              <w:pStyle w:val="Compact"/>
            </w:pPr>
            <w:r>
              <w:t xml:space="preserve">leverage toward voice</w:t>
            </w:r>
          </w:p>
        </w:tc>
      </w:tr>
      <w:tr>
        <w:tc>
          <w:tcPr/>
          <w:p>
            <w:pPr>
              <w:pStyle w:val="Compact"/>
            </w:pPr>
            <w:r>
              <w:t xml:space="preserve">Cooperative ownership</w:t>
            </w:r>
          </w:p>
        </w:tc>
        <w:tc>
          <w:tcPr/>
          <w:p>
            <w:pPr>
              <w:pStyle w:val="Compact"/>
            </w:pPr>
            <w:r>
              <w:t xml:space="preserve">may fund an alternative</w:t>
            </w:r>
          </w:p>
        </w:tc>
        <w:tc>
          <w:tcPr/>
          <w:p>
            <w:pPr>
              <w:pStyle w:val="Compact"/>
            </w:pPr>
            <w:r>
              <w:t xml:space="preserve">changes the owner, not the leaveability</w:t>
            </w:r>
          </w:p>
        </w:tc>
      </w:tr>
      <w:tr>
        <w:tc>
          <w:tcPr/>
          <w:p>
            <w:pPr>
              <w:pStyle w:val="Compact"/>
            </w:pPr>
            <w:r>
              <w:t xml:space="preserve">Oversight boards</w:t>
            </w:r>
          </w:p>
        </w:tc>
        <w:tc>
          <w:tcPr/>
          <w:p>
            <w:pPr>
              <w:pStyle w:val="Compact"/>
            </w:pPr>
            <w:r>
              <w:t xml:space="preserve">marginal</w:t>
            </w:r>
          </w:p>
        </w:tc>
        <w:tc>
          <w:tcPr/>
          <w:p>
            <w:pPr>
              <w:pStyle w:val="Compact"/>
            </w:pPr>
            <w:r>
              <w:t xml:space="preserve">voice, bounded by the constituting platform</w:t>
            </w:r>
          </w:p>
        </w:tc>
      </w:tr>
    </w:tbl>
    <w:p>
      <w:pPr>
        <w:pStyle w:val="BodyText"/>
      </w:pPr>
      <w:r>
        <w:t xml:space="preserve">The instruments do not all reach the same bearer. Article 22’s contestation runs to natural persons and the platform-work directive’s rights to workers, while the Platform-to-Business Regulation’s complaint-handling and representative standing run to business users. A dependent firm and a dependent person therefore face different repertoires against the same mediator, and section 8 takes up the firm’s.</w:t>
      </w:r>
    </w:p>
    <w:p>
      <w:pPr>
        <w:pStyle w:val="BodyText"/>
      </w:pPr>
      <w:r>
        <w:t xml:space="preserve">Platform cooperativism proposes the most direct route: change who owns the platform. Worker- and user-owned cooperatives, democratically governed, would give coordinated actors a share in governing the mediation by making them owners (Scholz, 2016). Where a cooperative can be built at the required scale, it converts an enrolled subject into a member with a vote. The limits are scale and capital, and section 6 names the deeper one: ownership does not make a necessary mediator leaveable.</w:t>
      </w:r>
    </w:p>
    <w:p>
      <w:pPr>
        <w:pStyle w:val="BodyText"/>
      </w:pPr>
      <w:r>
        <w:t xml:space="preserve">Data trusts and data cooperatives pursue standing through collective control of the data the mediation runs on (Micheli et al., 2020). A bottom-up data trust pools the data rights of many individuals under a fiduciary bound to act in their interest, giving a collective the bargaining power no individual data subject possesses (Delacroix &amp; Lawrence, 2019). The trust leaves the mediator in place and changes the terms on which it obtains the input it depends on. The European Data Governance Act has since created a registered category of data intermediary, and the November 2025 Digital Omnibus proposal would repeal that Act and move the data-intermediation rules into the Data Act (European Commission, 2025a). The statutory vehicle is in motion while the category persists, and the evidence on whether the mechanism delivers standing in practice is not yet in.</w:t>
      </w:r>
    </w:p>
    <w:p>
      <w:pPr>
        <w:pStyle w:val="BodyText"/>
      </w:pPr>
      <w:r>
        <w:t xml:space="preserve">Collective bargaining adapts an older institution of voice to the platform, and it has recently acquired a statutory anchor. Where platform workers or platform-dependent firms can organize, they can negotiate over how assignments are made, how deactivation is decided, and how ranking is governed, and can establish a standing channel through which disclosure becomes consequence. Whether such a unit can form is itself a fact about the mediation, since platform architecture shapes where grievances pool and whether contention can organize at all (Lei, 2021).</w:t>
      </w:r>
    </w:p>
    <w:p>
      <w:pPr>
        <w:pStyle w:val="BodyText"/>
      </w:pPr>
      <w:r>
        <w:t xml:space="preserve">Contestability builds voice into the algorithmic system itself. Where explainability provides reasons for a determination, contestability provides a channel to challenge it: a contestable system is open and responsive to dispute throughout its lifecycle, with mechanisms that let affected parties review, correct, or override a decision (Alfrink et al., 2023). European data-protection law sets a floor, since Article 22 of the GDPR gives a natural person subject to a solely automated decision the right to obtain human intervention and to contest the outcome. Contestability is voice at the level of the case: it gives the coordinated actor standing to dispute a particular determination. It stops short of a share in how the system is governed in general.</w:t>
      </w:r>
    </w:p>
    <w:p>
      <w:pPr>
        <w:pStyle w:val="BodyText"/>
      </w:pPr>
      <w:r>
        <w:t xml:space="preserve">The Digital Services Act’s internal complaint-handling and certified out-of-court dispute-settlement bodies (Articles 20–21) institutionalize case-level contestation at statutory scale. Platform-run oversight boards offer a weaker private analog, a body with some authority to review the platform’s determinations (Klonick, 2020). Their promise is a standing institution through which the coordinated can be heard; their limit is dependence on the platform that constitutes them, which bounds the authority they can exercise.</w:t>
      </w:r>
    </w:p>
    <w:p>
      <w:pPr>
        <w:pStyle w:val="BodyText"/>
      </w:pPr>
      <w:r>
        <w:t xml:space="preserve">Across these forms, the common measure is the one the definition supplies: how much effective voice the institution confers, and whether that voice amounts to a share in the governance of the arrangement or only protection against its worst conduct. A data trust can supply the collective leverage that makes a bargaining unit’s demands credible, and the data it pools can feed the audits that give contestation its evidence. An interoperability mandate aimed at the contingent functions relieves pressure on the necessary ones by giving the actor somewhere else to go for what can be gotten elsewhere. No single instrument is likely to deliver coordinative sovereignty: it is the cumulative standing a stack of such institutions confers, and the diagnostic that places each one also splits what current research treats as a single organizational capability.</w:t>
      </w:r>
    </w:p>
    <w:bookmarkEnd w:id="28"/>
    <w:bookmarkStart w:id="29" w:name="implications"/>
    <w:p>
      <w:pPr>
        <w:pStyle w:val="Heading2"/>
      </w:pPr>
      <w:r>
        <w:t xml:space="preserve">8. Implications</w:t>
      </w:r>
    </w:p>
    <w:p>
      <w:pPr>
        <w:pStyle w:val="FirstParagraph"/>
      </w:pPr>
      <w:r>
        <w:t xml:space="preserve">Fratini et al. (2024), Hummel et al. (2021), and Schmuntzsch et al. (2025) operationalize organizational digital sovereignty as one capability built from regulatory and infrastructural components. Digital sovereignty is a literacy construct, measuring an organization’s capacity to read and control its data, infrastructure, and code. In contrast, coordinative sovereignty is an algorithmacy construct that measures an organization’s standing within the algorithmic coordination on which it depends. A firm can be high on the first and low on the second, impeccably compliant and strategically captured, and the two predict different outcomes.</w:t>
      </w:r>
    </w:p>
    <w:p>
      <w:pPr>
        <w:pStyle w:val="BodyText"/>
      </w:pPr>
      <w:r>
        <w:t xml:space="preserve">The first strand is high digital sovereignty beside low coordinative sovereignty. An application developer or marketplace seller can own its code and data, hold data-portability rights, and fully comply with the GDPR and the Digital Markets Act, yet still have no leverage over the ranking and review algorithms that determine its visibility (Cutolo &amp; Kenney, 2021). Enforcement has reached platform conduct without reaching that layer: the European Commission fined Apple €500 million in April 2025 for restricting how developers steer users to offers outside its App Store (European Commission, 2025b), a decision Apple has appealed (Case T-438/25). Ranking transparency is a separate and earlier obligation, set by the 2019 Platform-to-Business Regulation and the Digital Services Act. That Regulation does more than disclose: it also requires internal complaint-handling, offers mediation, and gives representative organizations standing to bring proceedings, making it one of the few instruments to attach a channel to disclosure. The Commission has since proposed to repeal it as part of a wider simplification package (European Commission, 2025a), which would remove the only duty in European law to disclose the main parameters of ranking to the business users being ranked. The Digital Services Act’s recommender transparency runs to a platform’s users and does not replace that duty. That is high digital sovereignty alongside low coordinative sovereignty, and an instrument that built a little of the second is now proposed for withdrawal.</w:t>
      </w:r>
    </w:p>
    <w:p>
      <w:pPr>
        <w:pStyle w:val="BodyText"/>
      </w:pPr>
      <w:r>
        <w:t xml:space="preserve">A second, related but reverse, strand is still arriving: a platform worker owns none of the infrastructure that coordinates the work. Under the European platform-work directive, member states must, by 2 December 2026, write in information rights over automated systems, human review of consequential automated decisions, and limits on the data the platform may process (European Parliament &amp; Council of the European Union, 2024). No member state had fully transposed the directive as this chapter was written, so the standing it describes is a legislative commitment, not yet a present fact. The same directive’s rebuttable presumption of employment, where the platform controls the work, is a different instrument. Where it bites, it may move the worker out of a mediated triad and into a hierarchy, changing the form of coordination rather than conferring standing within it. Article 25 is the voice clause: it obliges member states to promote collective bargaining in platform work, including measures</w:t>
      </w:r>
      <w:r>
        <w:t xml:space="preserve"> </w:t>
      </w:r>
      <w:r>
        <w:t xml:space="preserve">“to facilitate the exercise of their rights related to algorithmic management set out in Chapter III.”</w:t>
      </w:r>
      <w:r>
        <w:t xml:space="preserve"> </w:t>
      </w:r>
      <w:r>
        <w:t xml:space="preserve">A legislature there ties collective voice directly to standing over algorithmic coordination, which is coordinative sovereignty written into law. Member states are building that standing while control of the infrastructure stays at zero.</w:t>
      </w:r>
    </w:p>
    <w:p>
      <w:pPr>
        <w:pStyle w:val="BodyText"/>
      </w:pPr>
      <w:r>
        <w:t xml:space="preserve">Compliance investment leaves a strategic exposure that hits hardest for small and medium-sized enterprises that depend on platforms they lack the scale to influence. A firm that invests in regulatory compliance secures a digital position and does not acquire standing over the algorithmic determinations that set its market outcomes. The exposure is an algorithmacy gap, and the diagnostic gives managers a decision procedure. Where the firm depends on a contingent mediator, the move is toward exit: support interoperability, build or back an alternative, break the lock-in. Where it depends on a necessary mediator, exit is closed, and the move is toward voice: organize with other dependent firms, pool data, demand contestable systems, seek a standing channel of governance. Treating a necessary mediator as contingent wastes effort on an exit that cannot be had, and the hotels of section 5.5 show what that waste looks like at sector scale. Treating a contingent one as necessary concedes a bypass that could be opened.</w:t>
      </w:r>
    </w:p>
    <w:p>
      <w:pPr>
        <w:pStyle w:val="BodyText"/>
      </w:pPr>
      <w:r>
        <w:t xml:space="preserve">If algorithmacy enables coordinative sovereignty, and algorithmacy can be built, then a firm’s standing within its platform dependencies is a capability problem. The inferential capacity to model the systems that coordinate it, the translational capacity to render its conduct into the terms those systems read, and the temporal capacity to hold a course as the systems change can each be trained, budgeted, and audited the way compliance now is. None of it will show up on a compliance audit.</w:t>
      </w:r>
    </w:p>
    <w:p>
      <w:pPr>
        <w:pStyle w:val="BodyText"/>
      </w:pPr>
      <w:r>
        <w:t xml:space="preserve">Instruments that would reach the layer where the harm lives have to build standing, not only disclosure. The European architecture governs data, infrastructure, and code with unmatched thoroughness, and it inherits the literate model’s assumption that a legible object brought before an institution will be held to account. Platform coordination breaks that assumption by supplying the standing gap named above. Contestation rights, collective-organization rights, and governance channels that turn disclosure into consequence — created for the coordinated actor — are what that layer requires.</w:t>
      </w:r>
    </w:p>
    <w:p>
      <w:pPr>
        <w:pStyle w:val="BodyText"/>
      </w:pPr>
      <w:r>
        <w:t xml:space="preserve">The two constructs also reframe the standoff between openness and control that runs through the digital- sovereignty debate. That debate usually stages a choice: openness invites dependence on foreign platforms, while control invites fragmentation and lost efficiency. For the coordinated actor, the relevant question is whether it has standing within the system, and whether standing is compatible with either. A closed national platform in which users have no voice reproduces the co-optation it was meant to escape, now under a domestic flag. WeChat is woven into Chinese public administration to the point of hosting police modules (Bernot, 2025), and its users hold no standing within a system the state governs securely. Russia’s sovereign internet regime has the same shape at the network layer (Stadnik, 2021). An open or federated platform can run the other way. CoopCycle’s member cooperatives decide pay schemes and allocation rules on one-member-one-vote terms (Fortuny-Sicart et al., 2024), and federated social networks give users both exit to another instance and a voice in local governance (Gehl &amp; Zulli, 2023). Neither owes its standing to state control. Structure enables voice without ensuring it: the New York Drivers Cooperative combines formal member governance with disputes over whether that governance delivers what it promised (Tortorici, 2026) — a qualification, not a counterexample. Openness and control are properties of the infrastructure; coordinative sovereignty is a property of the coordinated actor’s relation to it, and the two do not track each other.</w:t>
      </w:r>
    </w:p>
    <w:bookmarkEnd w:id="29"/>
    <w:bookmarkStart w:id="30" w:name="future-research-directions"/>
    <w:p>
      <w:pPr>
        <w:pStyle w:val="Heading2"/>
      </w:pPr>
      <w:r>
        <w:t xml:space="preserve">9. Future research directions</w:t>
      </w:r>
    </w:p>
    <w:p>
      <w:pPr>
        <w:pStyle w:val="FirstParagraph"/>
      </w:pPr>
      <w:r>
        <w:t xml:space="preserve">The two sovereignties do not track each other; whether a firm is high on one and low on the other is now a measurement question.</w:t>
      </w:r>
    </w:p>
    <w:p>
      <w:pPr>
        <w:pStyle w:val="BodyText"/>
      </w:pPr>
      <w:r>
        <w:t xml:space="preserve">The first direction, a validated instrument for algorithmacy, faces a central difficulty of discriminant validity against a construct that already exists, even though its three dimensions point to a multidimensional scale. DeVito’s (2021) adaptive folk theorization covers awareness, strategic use, and revision over time, and algorithm-literacy scales already measure awareness that algorithms operate and knowledge of how they work in principle (Dogruel et al., 2022). An algorithmacy scale would need to capture what those do not: competence exercised on a counterpart and a system at once, where the system scores the actor on how the coordination with the counterpart goes. Because self-reported competence invites over-confidence, such an instrument should be anchored to a behavioral criterion, for example, the accuracy of an actor’s predictions of how a system will treat a set of moves, scored against the system’s behavior.</w:t>
      </w:r>
    </w:p>
    <w:p>
      <w:pPr>
        <w:pStyle w:val="BodyText"/>
      </w:pPr>
      <w:r>
        <w:t xml:space="preserve">The second direction, a validated instrument for coordinative sovereignty, would have to measure standing — freedom from the mediator’s arbitrary power, effective voice over the terms of mediation, and a share in the coordination’s governance — under the condition that defines the construct: a necessary mediation, an arrangement the open tie does not dissolve. Lock-in under a contingent gate is involuntary retention, and it belongs to the exit column. The nearest validated construct is psychological empowerment (Spreitzer, 1995), and the task is to show that standing within a mediation the actor cannot bypass differs from felt empowerment inside an organization one could leave, and differs again from standing withheld by switching costs alone. Republican theory offers a usable test item in the form of the question whether an actor can look the mediator in the eye and speak plainly, without needing to ingratiate or to avoid provoking a power that could retaliate. Because the construct has both an individual and an organizational bearer, the instrument needs a form at each level, and their correspondence is itself a question.</w:t>
      </w:r>
    </w:p>
    <w:p>
      <w:pPr>
        <w:pStyle w:val="BodyText"/>
      </w:pPr>
      <w:r>
        <w:t xml:space="preserve">The third direction is the two-step design the diagnostic affords: because the necessary/contingent distinction can be applied to a modeled coordination, a study could classify the mediators an organization depends on before measuring the organization’s response, and then ask whether the response fits the mediator type, exit-seeking against contingent gates and voice-building against necessary ones. A firm’s coordinative sovereignty is then not only how much standing it holds but whether it holds the right kind, and misallocation becomes a measurable predictor of poor outcomes.</w:t>
      </w:r>
    </w:p>
    <w:p>
      <w:pPr>
        <w:pStyle w:val="BodyText"/>
      </w:pPr>
      <w:r>
        <w:t xml:space="preserve">The fourth direction is the correspondence between reported and afforded standing, operationalized twice: as a survey of the standing an actor reports, and as a structural property of a formal model of the actor’s coordination, developed in the companion paper (Author, 2026). Whether actors who report high coordinative sovereignty are those a model would place as pivotal is a construct-validity test a self-report alone cannot supply.</w:t>
      </w:r>
    </w:p>
    <w:p>
      <w:pPr>
        <w:pStyle w:val="BodyText"/>
      </w:pPr>
      <w:r>
        <w:t xml:space="preserve">Beyond measurement lies the question of whether algorithmacy can be democratized as literacy was, and the historical answer is less encouraging than the analogy suggests. Mass literacy did not spread because it was emancipatory. States compelled it through schooling, and Paglayan (2024) finds primary-schooling expansions following episodes of internal unrest, not extensions of the franchise: compulsion was the mechanism and order the motive. The nearest analog for algorithmic competence is a market, and what that market teaches is not contestation. Studies of the platform-expertise industry find it coaching producers to comply with platform objectives, translating opacity into advice about how to please the system (Bishop, 2020; MacDonald, 2023). Compulsory analogs exist in early form, since the AI Act obliges providers and deployers to ensure a level of AI literacy among staff and the platform-work directive entitles workers’ representatives to an expert of their choosing, at the platform’s proportionate expense where it employs more than 250 workers in that member state. Whether coordinative sovereignty becomes general or remains in the hands of those who can afford the competence turns on which of these two paths drives diffusion.</w:t>
      </w:r>
    </w:p>
    <w:bookmarkEnd w:id="30"/>
    <w:bookmarkStart w:id="31" w:name="conclusion"/>
    <w:p>
      <w:pPr>
        <w:pStyle w:val="Heading2"/>
      </w:pPr>
      <w:r>
        <w:t xml:space="preserve">10. Conclusion</w:t>
      </w:r>
    </w:p>
    <w:p>
      <w:pPr>
        <w:pStyle w:val="FirstParagraph"/>
      </w:pPr>
      <w:r>
        <w:t xml:space="preserve">Sovereignty has always been the standing to hold power to account through the medium in which power is exercised, and the standing has always required a competence equal to the medium. Oracy held the oral order to account; literacy held the literate state to account, and the digital extension of literacy governs data, infrastructure, and code. Platform coordination introduces a medium the prior competences cannot govern, because it does not present authority as a text to be read: it enrolls the coordinated actor into a system that interprets it and commits its outcomes. The competence equal to that medium is algorithmacy. Where a mediator still binds after the parties can reach each other, the standing that competence can make effective is coordinative sovereignty: voice within that mediation, carried far enough to be a share in how the coordination is governed.</w:t>
      </w:r>
    </w:p>
    <w:p>
      <w:pPr>
        <w:pStyle w:val="BodyText"/>
      </w:pPr>
      <w:r>
        <w:t xml:space="preserve">The line between mediators an actor can leave, and mediators it can only govern is checkable by a counterfactual that asks what a mediator would still do if the parties it stands between could reach each other directly. Where the mediator is contingent, the older sovereignty of exit still works, and exit-restoring instruments — including some pursued under the digital-sovereignty agenda — apply. Where the mediator is necessary, only voice remains, resting on non-domination, relational autonomy, involvement, and commons governance, and realized, if at all, through cooperatives, trusts, collective bargaining, contestability, and standing channels of governance. Europe’s hotels spent a decade prying open a gate their dependence did not run through, and came out of it more dependent than they went in.</w:t>
      </w:r>
    </w:p>
    <w:p>
      <w:pPr>
        <w:pStyle w:val="BodyText"/>
      </w:pPr>
      <w:r>
        <w:t xml:space="preserve">Literacy was once the possession of a clerical few. It became, unevenly and incompletely, a general condition of citizenship, and democratic sovereignty followed the diffusion of the competence that made it possible. Algorithmacy is now held by a narrow class of those who can model and act within the systems that coordinate the rest, and the market that currently teaches it rewards compliance. Coordinative sovereignty is not reading, and it is not control of the infrastructure. It requires the standing of the coordinated to govern the coordinations that govern them, and the diffusion of the competence that standing requires. Neither reading alone nor control alone secures it.</w:t>
      </w:r>
    </w:p>
    <w:bookmarkEnd w:id="31"/>
    <w:bookmarkStart w:id="103" w:name="references"/>
    <w:p>
      <w:pPr>
        <w:pStyle w:val="Heading2"/>
      </w:pPr>
      <w:r>
        <w:t xml:space="preserve">References</w:t>
      </w:r>
    </w:p>
    <w:p>
      <w:pPr>
        <w:pStyle w:val="FirstParagraph"/>
      </w:pPr>
      <w:r>
        <w:t xml:space="preserve">Adler, P. S. (2001). Market, hierarchy, and trust: The knowledge economy and the future of capitalism. </w:t>
      </w:r>
      <w:r>
        <w:rPr>
          <w:i/>
          <w:iCs/>
        </w:rPr>
        <w:t xml:space="preserve">Organization Science, 12</w:t>
      </w:r>
      <w:r>
        <w:t xml:space="preserve">(2), 215–234. </w:t>
      </w:r>
      <w:hyperlink r:id="rId32">
        <w:r>
          <w:rPr>
            <w:rStyle w:val="Hyperlink"/>
          </w:rPr>
          <w:t xml:space="preserve">https://doi.org/10.1287/orsc.12.2.215.10117</w:t>
        </w:r>
      </w:hyperlink>
    </w:p>
    <w:p>
      <w:pPr>
        <w:pStyle w:val="BodyText"/>
      </w:pPr>
      <w:r>
        <w:t xml:space="preserve">Alfrink, K., Keller, I., Kortuem, G., &amp; Doorn, N. (2023). Contestable AI by design: Towards a framework. </w:t>
      </w:r>
      <w:r>
        <w:rPr>
          <w:i/>
          <w:iCs/>
        </w:rPr>
        <w:t xml:space="preserve">Minds and Machines, 33</w:t>
      </w:r>
      <w:r>
        <w:t xml:space="preserve">(4), 613–639. </w:t>
      </w:r>
      <w:hyperlink r:id="rId33">
        <w:r>
          <w:rPr>
            <w:rStyle w:val="Hyperlink"/>
          </w:rPr>
          <w:t xml:space="preserve">https://doi.org/10.1007/s11023-022-09611-z</w:t>
        </w:r>
      </w:hyperlink>
    </w:p>
    <w:p>
      <w:pPr>
        <w:pStyle w:val="BodyText"/>
      </w:pPr>
      <w:r>
        <w:t xml:space="preserve">Ananny, M., &amp; Crawford, K. (2018). Seeing without knowing: Limitations of the transparency ideal and its application to algorithmic accountability. </w:t>
      </w:r>
      <w:r>
        <w:rPr>
          <w:i/>
          <w:iCs/>
        </w:rPr>
        <w:t xml:space="preserve">New Media &amp; Society, 20</w:t>
      </w:r>
      <w:r>
        <w:t xml:space="preserve">(3), 973–989. </w:t>
      </w:r>
      <w:hyperlink r:id="rId34">
        <w:r>
          <w:rPr>
            <w:rStyle w:val="Hyperlink"/>
          </w:rPr>
          <w:t xml:space="preserve">https://doi.org/10.1177/1461444816676645</w:t>
        </w:r>
      </w:hyperlink>
    </w:p>
    <w:p>
      <w:pPr>
        <w:pStyle w:val="BodyText"/>
      </w:pPr>
      <w:r>
        <w:t xml:space="preserve">Anderson, B. (2006). </w:t>
      </w:r>
      <w:r>
        <w:rPr>
          <w:i/>
          <w:iCs/>
        </w:rPr>
        <w:t xml:space="preserve">Imagined communities: Reflections on the origin and spread of nationalism</w:t>
      </w:r>
      <w:r>
        <w:t xml:space="preserve"> (Rev. ed.). Verso. (Original work published 1983)</w:t>
      </w:r>
    </w:p>
    <w:p>
      <w:pPr>
        <w:pStyle w:val="BodyText"/>
      </w:pPr>
      <w:r>
        <w:t xml:space="preserve">Anderson, C. K. (2009). </w:t>
      </w:r>
      <w:r>
        <w:rPr>
          <w:i/>
          <w:iCs/>
        </w:rPr>
        <w:t xml:space="preserve">The billboard effect: Online travel agent impact on non-OTA reservation volume</w:t>
      </w:r>
      <w:r>
        <w:t xml:space="preserve"> (Cornell Hospitality Report). Cornell University Center for Hospitality Research.</w:t>
      </w:r>
    </w:p>
    <w:p>
      <w:pPr>
        <w:pStyle w:val="BodyText"/>
      </w:pPr>
      <w:r>
        <w:t xml:space="preserve">Anderson, C. K. (2011). </w:t>
      </w:r>
      <w:r>
        <w:rPr>
          <w:i/>
          <w:iCs/>
        </w:rPr>
        <w:t xml:space="preserve">Search, OTAs, and online booking: An expanded analysis of the billboard effect</w:t>
      </w:r>
      <w:r>
        <w:t xml:space="preserve"> (Cornell Hospitality Report). Cornell University Center for Hospitality Research.</w:t>
      </w:r>
    </w:p>
    <w:p>
      <w:pPr>
        <w:pStyle w:val="BodyText"/>
      </w:pPr>
      <w:r>
        <w:t xml:space="preserve">Anderson, E. (2017). </w:t>
      </w:r>
      <w:r>
        <w:rPr>
          <w:i/>
          <w:iCs/>
        </w:rPr>
        <w:t xml:space="preserve">Private government: How employers rule our lives (and why we don’t talk about it)</w:t>
      </w:r>
      <w:r>
        <w:t xml:space="preserve">. Princeton University Press. </w:t>
      </w:r>
      <w:hyperlink r:id="rId35">
        <w:r>
          <w:rPr>
            <w:rStyle w:val="Hyperlink"/>
          </w:rPr>
          <w:t xml:space="preserve">https://doi.org/10.1515/9781400887781</w:t>
        </w:r>
      </w:hyperlink>
    </w:p>
    <w:p>
      <w:pPr>
        <w:pStyle w:val="BodyText"/>
      </w:pPr>
      <w:r>
        <w:t xml:space="preserve">Armstrong, M. (2006). Competition in two-sided markets. </w:t>
      </w:r>
      <w:r>
        <w:rPr>
          <w:i/>
          <w:iCs/>
        </w:rPr>
        <w:t xml:space="preserve">RAND Journal of Economics, 37</w:t>
      </w:r>
      <w:r>
        <w:t xml:space="preserve">(3), 668–691. </w:t>
      </w:r>
      <w:hyperlink r:id="rId36">
        <w:r>
          <w:rPr>
            <w:rStyle w:val="Hyperlink"/>
          </w:rPr>
          <w:t xml:space="preserve">https://doi.org/10.1111/j.1756-2171.2006.tb00037.x</w:t>
        </w:r>
      </w:hyperlink>
    </w:p>
    <w:p>
      <w:pPr>
        <w:pStyle w:val="BodyText"/>
      </w:pPr>
      <w:r>
        <w:t xml:space="preserve">Author. (2026). </w:t>
      </w:r>
      <w:r>
        <w:rPr>
          <w:i/>
          <w:iCs/>
        </w:rPr>
        <w:t xml:space="preserve">Details omitted for double-anonymized review</w:t>
      </w:r>
      <w:r>
        <w:t xml:space="preserve">.</w:t>
      </w:r>
    </w:p>
    <w:p>
      <w:pPr>
        <w:pStyle w:val="BodyText"/>
      </w:pPr>
      <w:r>
        <w:t xml:space="preserve">Baldwin, C. Y. (2008). Where do transactions come from? Modularity, transactions, and the boundaries of firms. </w:t>
      </w:r>
      <w:r>
        <w:rPr>
          <w:i/>
          <w:iCs/>
        </w:rPr>
        <w:t xml:space="preserve">Industrial and Corporate Change, 17</w:t>
      </w:r>
      <w:r>
        <w:t xml:space="preserve">(1), 155–195. </w:t>
      </w:r>
      <w:hyperlink r:id="rId37">
        <w:r>
          <w:rPr>
            <w:rStyle w:val="Hyperlink"/>
          </w:rPr>
          <w:t xml:space="preserve">https://doi.org/10.1093/icc/dtm036</w:t>
        </w:r>
      </w:hyperlink>
    </w:p>
    <w:p>
      <w:pPr>
        <w:pStyle w:val="BodyText"/>
      </w:pPr>
      <w:r>
        <w:t xml:space="preserve">Bannerman, S. (2024). Platform imperialism, communications law and relational sovereignty. </w:t>
      </w:r>
      <w:r>
        <w:rPr>
          <w:i/>
          <w:iCs/>
        </w:rPr>
        <w:t xml:space="preserve">New Media &amp; Society, 26</w:t>
      </w:r>
      <w:r>
        <w:t xml:space="preserve">(4), 1816–1833. </w:t>
      </w:r>
      <w:hyperlink r:id="rId38">
        <w:r>
          <w:rPr>
            <w:rStyle w:val="Hyperlink"/>
          </w:rPr>
          <w:t xml:space="preserve">https://doi.org/10.1177/14614448221077284</w:t>
        </w:r>
      </w:hyperlink>
    </w:p>
    <w:p>
      <w:pPr>
        <w:pStyle w:val="BodyText"/>
      </w:pPr>
      <w:r>
        <w:t xml:space="preserve">Beritelli, P., &amp; Schegg, R. (2016). Maximizing online bookings through a multi-channel-strategy: Effects of interdependencies and networks. </w:t>
      </w:r>
      <w:r>
        <w:rPr>
          <w:i/>
          <w:iCs/>
        </w:rPr>
        <w:t xml:space="preserve">International Journal of Contemporary Hospitality Management, 28</w:t>
      </w:r>
      <w:r>
        <w:t xml:space="preserve">(1), 68–88. </w:t>
      </w:r>
      <w:hyperlink r:id="rId39">
        <w:r>
          <w:rPr>
            <w:rStyle w:val="Hyperlink"/>
          </w:rPr>
          <w:t xml:space="preserve">https://doi.org/10.1108/IJCHM-07-2014-0326</w:t>
        </w:r>
      </w:hyperlink>
    </w:p>
    <w:p>
      <w:pPr>
        <w:pStyle w:val="BodyText"/>
      </w:pPr>
      <w:r>
        <w:t xml:space="preserve">Berlin, I. (1969). Two concepts of liberty. In </w:t>
      </w:r>
      <w:r>
        <w:rPr>
          <w:i/>
          <w:iCs/>
        </w:rPr>
        <w:t xml:space="preserve">Four essays on liberty</w:t>
      </w:r>
      <w:r>
        <w:t xml:space="preserve">. Oxford University Press.</w:t>
      </w:r>
    </w:p>
    <w:p>
      <w:pPr>
        <w:pStyle w:val="BodyText"/>
      </w:pPr>
      <w:r>
        <w:t xml:space="preserve">Bernot, A. (2025). WeChat-as-a-police service. </w:t>
      </w:r>
      <w:r>
        <w:rPr>
          <w:i/>
          <w:iCs/>
        </w:rPr>
        <w:t xml:space="preserve">Policy &amp; Internet, 17</w:t>
      </w:r>
      <w:r>
        <w:t xml:space="preserve">(4), Article e70018. </w:t>
      </w:r>
      <w:hyperlink r:id="rId40">
        <w:r>
          <w:rPr>
            <w:rStyle w:val="Hyperlink"/>
          </w:rPr>
          <w:t xml:space="preserve">https://doi.org/10.1002/poi3.70018</w:t>
        </w:r>
      </w:hyperlink>
    </w:p>
    <w:p>
      <w:pPr>
        <w:pStyle w:val="BodyText"/>
      </w:pPr>
      <w:r>
        <w:t xml:space="preserve">Bishop, S. (2020). Algorithmic experts: Selling algorithmic lore on YouTube. </w:t>
      </w:r>
      <w:r>
        <w:rPr>
          <w:i/>
          <w:iCs/>
        </w:rPr>
        <w:t xml:space="preserve">Social Media + Society, 6</w:t>
      </w:r>
      <w:r>
        <w:t xml:space="preserve">(1). </w:t>
      </w:r>
      <w:hyperlink r:id="rId41">
        <w:r>
          <w:rPr>
            <w:rStyle w:val="Hyperlink"/>
          </w:rPr>
          <w:t xml:space="preserve">https://doi.org/10.1177/2056305119897323</w:t>
        </w:r>
      </w:hyperlink>
    </w:p>
    <w:p>
      <w:pPr>
        <w:pStyle w:val="BodyText"/>
      </w:pPr>
      <w:r>
        <w:t xml:space="preserve">Bodin, J. (1992). </w:t>
      </w:r>
      <w:r>
        <w:rPr>
          <w:i/>
          <w:iCs/>
        </w:rPr>
        <w:t xml:space="preserve">On sovereignty: Four chapters from the six books of the commonwealth</w:t>
      </w:r>
      <w:r>
        <w:t xml:space="preserve"> (J. H. Franklin, Ed. &amp; Trans.). Cambridge University Press. (Original work published 1576)</w:t>
      </w:r>
    </w:p>
    <w:p>
      <w:pPr>
        <w:pStyle w:val="BodyText"/>
      </w:pPr>
      <w:r>
        <w:t xml:space="preserve">Bradford, A. (2023). </w:t>
      </w:r>
      <w:r>
        <w:rPr>
          <w:i/>
          <w:iCs/>
        </w:rPr>
        <w:t xml:space="preserve">Digital empires: The global battle to regulate technology</w:t>
      </w:r>
      <w:r>
        <w:t xml:space="preserve">. Oxford University Press.</w:t>
      </w:r>
    </w:p>
    <w:p>
      <w:pPr>
        <w:pStyle w:val="BodyText"/>
      </w:pPr>
      <w:r>
        <w:t xml:space="preserve">Bucher, E. L., Schou, P. K., &amp; Waldkirch, M. (2021). Pacifying the algorithm – Anticipatory compliance in the face of algorithmic management in the gig economy. </w:t>
      </w:r>
      <w:r>
        <w:rPr>
          <w:i/>
          <w:iCs/>
        </w:rPr>
        <w:t xml:space="preserve">Organization, 28</w:t>
      </w:r>
      <w:r>
        <w:t xml:space="preserve">(1), 44–67. </w:t>
      </w:r>
      <w:hyperlink r:id="rId42">
        <w:r>
          <w:rPr>
            <w:rStyle w:val="Hyperlink"/>
          </w:rPr>
          <w:t xml:space="preserve">https://doi.org/10.1177/1350508420961531</w:t>
        </w:r>
      </w:hyperlink>
    </w:p>
    <w:p>
      <w:pPr>
        <w:pStyle w:val="BodyText"/>
      </w:pPr>
      <w:r>
        <w:t xml:space="preserve">Burrell, J. (2016). How the machine</w:t>
      </w:r>
      <w:r>
        <w:t xml:space="preserve"> </w:t>
      </w:r>
      <w:r>
        <w:t xml:space="preserve">“thinks”</w:t>
      </w:r>
      <w:r>
        <w:t xml:space="preserve">: Understanding opacity in machine learning algorithms. </w:t>
      </w:r>
      <w:r>
        <w:rPr>
          <w:i/>
          <w:iCs/>
        </w:rPr>
        <w:t xml:space="preserve">Big Data &amp; Society, 3</w:t>
      </w:r>
      <w:r>
        <w:t xml:space="preserve">(1). </w:t>
      </w:r>
      <w:hyperlink r:id="rId43">
        <w:r>
          <w:rPr>
            <w:rStyle w:val="Hyperlink"/>
          </w:rPr>
          <w:t xml:space="preserve">https://doi.org/10.1177/2053951715622512</w:t>
        </w:r>
      </w:hyperlink>
    </w:p>
    <w:p>
      <w:pPr>
        <w:pStyle w:val="BodyText"/>
      </w:pPr>
      <w:r>
        <w:t xml:space="preserve">Burt, R. S. (2004). Structural holes and good ideas. </w:t>
      </w:r>
      <w:r>
        <w:rPr>
          <w:i/>
          <w:iCs/>
        </w:rPr>
        <w:t xml:space="preserve">American Journal of Sociology, 110</w:t>
      </w:r>
      <w:r>
        <w:t xml:space="preserve">(2), 349–399. </w:t>
      </w:r>
      <w:hyperlink r:id="rId44">
        <w:r>
          <w:rPr>
            <w:rStyle w:val="Hyperlink"/>
          </w:rPr>
          <w:t xml:space="preserve">https://doi.org/10.1086/421787</w:t>
        </w:r>
      </w:hyperlink>
    </w:p>
    <w:p>
      <w:pPr>
        <w:pStyle w:val="BodyText"/>
      </w:pPr>
      <w:r>
        <w:t xml:space="preserve">Cicerchia, L. (2022). Structural domination in the labor market. </w:t>
      </w:r>
      <w:r>
        <w:rPr>
          <w:i/>
          <w:iCs/>
        </w:rPr>
        <w:t xml:space="preserve">European Journal of Political Theory, 21</w:t>
      </w:r>
      <w:r>
        <w:t xml:space="preserve">(1), 4–24. </w:t>
      </w:r>
      <w:hyperlink r:id="rId45">
        <w:r>
          <w:rPr>
            <w:rStyle w:val="Hyperlink"/>
          </w:rPr>
          <w:t xml:space="preserve">https://doi.org/10.1177/1474885119851094</w:t>
        </w:r>
      </w:hyperlink>
    </w:p>
    <w:p>
      <w:pPr>
        <w:pStyle w:val="BodyText"/>
      </w:pPr>
      <w:r>
        <w:t xml:space="preserve">Cohen, J. E. (2017). Law for the platform economy. </w:t>
      </w:r>
      <w:r>
        <w:rPr>
          <w:i/>
          <w:iCs/>
        </w:rPr>
        <w:t xml:space="preserve">UC Davis Law Review, 51</w:t>
      </w:r>
      <w:r>
        <w:t xml:space="preserve">(1), 133–204.</w:t>
      </w:r>
    </w:p>
    <w:p>
      <w:pPr>
        <w:pStyle w:val="BodyText"/>
      </w:pPr>
      <w:r>
        <w:t xml:space="preserve">Cotter, K., &amp; Reisdorf, B. C. (2020). Algorithmic knowledge gaps: A new horizon of (digital) inequality. </w:t>
      </w:r>
      <w:r>
        <w:rPr>
          <w:i/>
          <w:iCs/>
        </w:rPr>
        <w:t xml:space="preserve">International Journal of Communication, 14</w:t>
      </w:r>
      <w:r>
        <w:t xml:space="preserve">.</w:t>
      </w:r>
    </w:p>
    <w:p>
      <w:pPr>
        <w:pStyle w:val="BodyText"/>
      </w:pPr>
      <w:r>
        <w:t xml:space="preserve">Couture, S., &amp; Toupin, S. (2019). What does the notion of</w:t>
      </w:r>
      <w:r>
        <w:t xml:space="preserve"> </w:t>
      </w:r>
      <w:r>
        <w:t xml:space="preserve">“sovereignty”</w:t>
      </w:r>
      <w:r>
        <w:t xml:space="preserve"> </w:t>
      </w:r>
      <w:r>
        <w:t xml:space="preserve">mean when referring to the digital? </w:t>
      </w:r>
      <w:r>
        <w:rPr>
          <w:i/>
          <w:iCs/>
        </w:rPr>
        <w:t xml:space="preserve">New Media &amp; Society, 21</w:t>
      </w:r>
      <w:r>
        <w:t xml:space="preserve">(10), 2305–2322. </w:t>
      </w:r>
      <w:hyperlink r:id="rId46">
        <w:r>
          <w:rPr>
            <w:rStyle w:val="Hyperlink"/>
          </w:rPr>
          <w:t xml:space="preserve">https://doi.org/10.1177/1461444819865984</w:t>
        </w:r>
      </w:hyperlink>
    </w:p>
    <w:p>
      <w:pPr>
        <w:pStyle w:val="BodyText"/>
      </w:pPr>
      <w:r>
        <w:t xml:space="preserve">Curchod, C., Patriotta, G., Cohen, L., &amp; Neysen, N. (2020). Working for an algorithm: Power asymmetries and agency in online work settings. </w:t>
      </w:r>
      <w:r>
        <w:rPr>
          <w:i/>
          <w:iCs/>
        </w:rPr>
        <w:t xml:space="preserve">Administrative Science Quarterly, 65</w:t>
      </w:r>
      <w:r>
        <w:t xml:space="preserve">(3), 644–676. </w:t>
      </w:r>
      <w:hyperlink r:id="rId47">
        <w:r>
          <w:rPr>
            <w:rStyle w:val="Hyperlink"/>
          </w:rPr>
          <w:t xml:space="preserve">https://doi.org/10.1177/0001839219867024</w:t>
        </w:r>
      </w:hyperlink>
    </w:p>
    <w:p>
      <w:pPr>
        <w:pStyle w:val="BodyText"/>
      </w:pPr>
      <w:r>
        <w:t xml:space="preserve">Cutolo, D., &amp; Kenney, M. (2021). Platform-dependent entrepreneurs: Power asymmetries, risks, and strategies in the platform economy. </w:t>
      </w:r>
      <w:r>
        <w:rPr>
          <w:i/>
          <w:iCs/>
        </w:rPr>
        <w:t xml:space="preserve">Academy of Management Perspectives, 35</w:t>
      </w:r>
      <w:r>
        <w:t xml:space="preserve">(4), 584–605. </w:t>
      </w:r>
      <w:hyperlink r:id="rId48">
        <w:r>
          <w:rPr>
            <w:rStyle w:val="Hyperlink"/>
          </w:rPr>
          <w:t xml:space="preserve">https://doi.org/10.5465/amp.2019.0103</w:t>
        </w:r>
      </w:hyperlink>
    </w:p>
    <w:p>
      <w:pPr>
        <w:pStyle w:val="BodyText"/>
      </w:pPr>
      <w:r>
        <w:t xml:space="preserve">Dasgupta, P., McDonnell, A., Carbery, R., &amp; Jooss, S. (2025). A systematic review on worker voice in the platform economy: The constitution of a grassroots voice mechanism. </w:t>
      </w:r>
      <w:r>
        <w:rPr>
          <w:i/>
          <w:iCs/>
        </w:rPr>
        <w:t xml:space="preserve">Human Resource Management Journal, 35</w:t>
      </w:r>
      <w:r>
        <w:t xml:space="preserve">(3), 649–666. </w:t>
      </w:r>
      <w:hyperlink r:id="rId49">
        <w:r>
          <w:rPr>
            <w:rStyle w:val="Hyperlink"/>
          </w:rPr>
          <w:t xml:space="preserve">https://doi.org/10.1111/1748-8583.12587</w:t>
        </w:r>
      </w:hyperlink>
    </w:p>
    <w:p>
      <w:pPr>
        <w:pStyle w:val="BodyText"/>
      </w:pPr>
      <w:r>
        <w:t xml:space="preserve">Delacroix, S., &amp; Lawrence, N. D. (2019). Bottom-up data trusts: Disturbing the</w:t>
      </w:r>
      <w:r>
        <w:t xml:space="preserve"> </w:t>
      </w:r>
      <w:r>
        <w:t xml:space="preserve">“one size fits all”</w:t>
      </w:r>
      <w:r>
        <w:t xml:space="preserve"> </w:t>
      </w:r>
      <w:r>
        <w:t xml:space="preserve">approach to data governance. </w:t>
      </w:r>
      <w:r>
        <w:rPr>
          <w:i/>
          <w:iCs/>
        </w:rPr>
        <w:t xml:space="preserve">International Data Privacy Law, 9</w:t>
      </w:r>
      <w:r>
        <w:t xml:space="preserve">(4), 236–252. </w:t>
      </w:r>
      <w:hyperlink r:id="rId50">
        <w:r>
          <w:rPr>
            <w:rStyle w:val="Hyperlink"/>
          </w:rPr>
          <w:t xml:space="preserve">https://doi.org/10.1093/idpl/ipz014</w:t>
        </w:r>
      </w:hyperlink>
    </w:p>
    <w:p>
      <w:pPr>
        <w:pStyle w:val="BodyText"/>
      </w:pPr>
      <w:r>
        <w:t xml:space="preserve">DeVito, M. A. (2021). Adaptive folk theorization as a path to algorithmic literacy on changing platforms. </w:t>
      </w:r>
      <w:r>
        <w:rPr>
          <w:i/>
          <w:iCs/>
        </w:rPr>
        <w:t xml:space="preserve">Proceedings of the ACM on Human-Computer Interaction, 5</w:t>
      </w:r>
      <w:r>
        <w:t xml:space="preserve">(CSCW2), Article 339. </w:t>
      </w:r>
      <w:hyperlink r:id="rId51">
        <w:r>
          <w:rPr>
            <w:rStyle w:val="Hyperlink"/>
          </w:rPr>
          <w:t xml:space="preserve">https://doi.org/10.1145/3476080</w:t>
        </w:r>
      </w:hyperlink>
    </w:p>
    <w:p>
      <w:pPr>
        <w:pStyle w:val="BodyText"/>
      </w:pPr>
      <w:r>
        <w:t xml:space="preserve">Dogruel, L., Masur, P., &amp; Joeckel, S. (2022). Development and validation of an algorithm literacy scale for internet users. </w:t>
      </w:r>
      <w:r>
        <w:rPr>
          <w:i/>
          <w:iCs/>
        </w:rPr>
        <w:t xml:space="preserve">Communication Methods and Measures, 16</w:t>
      </w:r>
      <w:r>
        <w:t xml:space="preserve">(2), 115–133. </w:t>
      </w:r>
      <w:hyperlink r:id="rId52">
        <w:r>
          <w:rPr>
            <w:rStyle w:val="Hyperlink"/>
          </w:rPr>
          <w:t xml:space="preserve">https://doi.org/10.1080/19312458.2021.1968361</w:t>
        </w:r>
      </w:hyperlink>
    </w:p>
    <w:p>
      <w:pPr>
        <w:pStyle w:val="BodyText"/>
      </w:pPr>
      <w:r>
        <w:t xml:space="preserve">Eisenmann, T. R., Parker, G., &amp; Van Alstyne, M. W. (2006). Strategies for two-sided markets. </w:t>
      </w:r>
      <w:r>
        <w:rPr>
          <w:i/>
          <w:iCs/>
        </w:rPr>
        <w:t xml:space="preserve">Harvard Business Review, 84</w:t>
      </w:r>
      <w:r>
        <w:t xml:space="preserve">(10), 92–101.</w:t>
      </w:r>
    </w:p>
    <w:p>
      <w:pPr>
        <w:pStyle w:val="BodyText"/>
      </w:pPr>
      <w:r>
        <w:t xml:space="preserve">Eisenstein, E. L. (1979). </w:t>
      </w:r>
      <w:r>
        <w:rPr>
          <w:i/>
          <w:iCs/>
        </w:rPr>
        <w:t xml:space="preserve">The printing press as an agent of change: Communications and cultural transformations in early modern Europe</w:t>
      </w:r>
      <w:r>
        <w:t xml:space="preserve">. Cambridge University Press.</w:t>
      </w:r>
    </w:p>
    <w:p>
      <w:pPr>
        <w:pStyle w:val="BodyText"/>
      </w:pPr>
      <w:r>
        <w:t xml:space="preserve">Eslami, M., Karahalios, K., Sandvig, C., Vaccaro, K., Rickman, A., Hamilton, K., &amp; Kirlik, A. (2016). First I</w:t>
      </w:r>
      <w:r>
        <w:t xml:space="preserve"> </w:t>
      </w:r>
      <w:r>
        <w:t xml:space="preserve">“like”</w:t>
      </w:r>
      <w:r>
        <w:t xml:space="preserve"> </w:t>
      </w:r>
      <w:r>
        <w:t xml:space="preserve">it, then I hide it: Folk theories of social feeds. In </w:t>
      </w:r>
      <w:r>
        <w:rPr>
          <w:i/>
          <w:iCs/>
        </w:rPr>
        <w:t xml:space="preserve">Proceedings of the 2016 CHI Conference on Human Factors in Computing Systems</w:t>
      </w:r>
      <w:r>
        <w:t xml:space="preserve"> (pp. 2371–2382). ACM. </w:t>
      </w:r>
      <w:hyperlink r:id="rId53">
        <w:r>
          <w:rPr>
            <w:rStyle w:val="Hyperlink"/>
          </w:rPr>
          <w:t xml:space="preserve">https://doi.org/10.1145/2858036.2858494</w:t>
        </w:r>
      </w:hyperlink>
    </w:p>
    <w:p>
      <w:pPr>
        <w:pStyle w:val="BodyText"/>
      </w:pPr>
      <w:r>
        <w:t xml:space="preserve">European Commission. (2025a). </w:t>
      </w:r>
      <w:r>
        <w:rPr>
          <w:i/>
          <w:iCs/>
        </w:rPr>
        <w:t xml:space="preserve">Proposal for a regulation amending Regulations (EU) 2016/679, (EU) 2018/1724, (EU) 2018/1725, (EU) 2023/2854 and Directives 2002/58/EC, (EU) 2022/2555 and (EU) 2022/2557 as regards the simplification of the digital legislative framework, and repealing Regulations (EU) 2018/1807, (EU) 2019/1150, (EU) 2022/868, and Directive (EU) 2019/1024 (Digital Omnibus)</w:t>
      </w:r>
      <w:r>
        <w:t xml:space="preserve"> (COM(2025) 837 final). </w:t>
      </w:r>
      <w:hyperlink r:id="rId54">
        <w:r>
          <w:rPr>
            <w:rStyle w:val="Hyperlink"/>
          </w:rPr>
          <w:t xml:space="preserve">https://eur-lex.europa.eu/legal-content/EN/TXT/?uri=CELEX:52025PC0837</w:t>
        </w:r>
      </w:hyperlink>
    </w:p>
    <w:p>
      <w:pPr>
        <w:pStyle w:val="BodyText"/>
      </w:pPr>
      <w:r>
        <w:t xml:space="preserve">European Commission. (2025b). </w:t>
      </w:r>
      <w:r>
        <w:rPr>
          <w:i/>
          <w:iCs/>
        </w:rPr>
        <w:t xml:space="preserve">Summary of Commission decision of 23 April 2025 relating to a decision pursuant to Regulation (EU) 2022/1925 (Case DMA.100109 — Apple — online intermediation services — app stores — Article 5(4))</w:t>
      </w:r>
      <w:r>
        <w:t xml:space="preserve">(OJ C/2025/3348).</w:t>
      </w:r>
    </w:p>
    <w:p>
      <w:pPr>
        <w:pStyle w:val="BodyText"/>
      </w:pPr>
      <w:r>
        <w:t xml:space="preserve">European Commission. (2026). </w:t>
      </w:r>
      <w:r>
        <w:rPr>
          <w:i/>
          <w:iCs/>
        </w:rPr>
        <w:t xml:space="preserve">Report on the review of Regulation (EU) 2022/1925 (Digital Markets Act)</w:t>
      </w:r>
      <w:r>
        <w:t xml:space="preserve"> (COM(2026) 178 final).</w:t>
      </w:r>
    </w:p>
    <w:p>
      <w:pPr>
        <w:pStyle w:val="BodyText"/>
      </w:pPr>
      <w:r>
        <w:t xml:space="preserve">European Competition Network. (2017). </w:t>
      </w:r>
      <w:r>
        <w:rPr>
          <w:i/>
          <w:iCs/>
        </w:rPr>
        <w:t xml:space="preserve">Report on the monitoring exercise carried out in the online hotel booking sector by EU competition authorities in 2016</w:t>
      </w:r>
      <w:r>
        <w:t xml:space="preserve">. European Commission, DG Competition.</w:t>
      </w:r>
    </w:p>
    <w:p>
      <w:pPr>
        <w:pStyle w:val="BodyText"/>
      </w:pPr>
      <w:r>
        <w:t xml:space="preserve">European Parliament &amp; Council of the European Union. (2024). </w:t>
      </w:r>
      <w:r>
        <w:rPr>
          <w:i/>
          <w:iCs/>
        </w:rPr>
        <w:t xml:space="preserve">Directive (EU) 2024/2831 of the European Parliament and of the Council of 23 October 2024 on improving working conditions in platform work</w:t>
      </w:r>
      <w:r>
        <w:t xml:space="preserve"> (Official Journal of the European Union, L 2024/2831). </w:t>
      </w:r>
      <w:hyperlink r:id="rId55">
        <w:r>
          <w:rPr>
            <w:rStyle w:val="Hyperlink"/>
          </w:rPr>
          <w:t xml:space="preserve">http://data.europa.eu/eli/dir/2024/2831/oj</w:t>
        </w:r>
      </w:hyperlink>
    </w:p>
    <w:p>
      <w:pPr>
        <w:pStyle w:val="BodyText"/>
      </w:pPr>
      <w:r>
        <w:t xml:space="preserve">Floridi, L. (2020). The fight for digital sovereignty: What it is, and why it matters, especially for the EU. </w:t>
      </w:r>
      <w:r>
        <w:rPr>
          <w:i/>
          <w:iCs/>
        </w:rPr>
        <w:t xml:space="preserve">Philosophy &amp; Technology, 33</w:t>
      </w:r>
      <w:r>
        <w:t xml:space="preserve">(3), 369–378. </w:t>
      </w:r>
      <w:hyperlink r:id="rId56">
        <w:r>
          <w:rPr>
            <w:rStyle w:val="Hyperlink"/>
          </w:rPr>
          <w:t xml:space="preserve">https://doi.org/10.1007/s13347-020-00423-6</w:t>
        </w:r>
      </w:hyperlink>
    </w:p>
    <w:p>
      <w:pPr>
        <w:pStyle w:val="BodyText"/>
      </w:pPr>
      <w:r>
        <w:t xml:space="preserve">Fortuny-Sicart, A., Pansera, M., &amp; Lloveras, J. (2024). Directing innovation through confrontation and democratisation: The case of platform cooperativism. </w:t>
      </w:r>
      <w:r>
        <w:rPr>
          <w:i/>
          <w:iCs/>
        </w:rPr>
        <w:t xml:space="preserve">Journal of Responsible Innovation, 11</w:t>
      </w:r>
      <w:r>
        <w:t xml:space="preserve">(1), Article 2414512. </w:t>
      </w:r>
      <w:hyperlink r:id="rId57">
        <w:r>
          <w:rPr>
            <w:rStyle w:val="Hyperlink"/>
          </w:rPr>
          <w:t xml:space="preserve">https://doi.org/10.1080/23299460.2024.2414512</w:t>
        </w:r>
      </w:hyperlink>
    </w:p>
    <w:p>
      <w:pPr>
        <w:pStyle w:val="BodyText"/>
      </w:pPr>
      <w:r>
        <w:t xml:space="preserve">Fratini, S., Hine, E., Novelli, C., Roberts, H., &amp; Floridi, L. (2024). Digital sovereignty: A descriptive analysis and a critical evaluation of existing models. </w:t>
      </w:r>
      <w:r>
        <w:rPr>
          <w:i/>
          <w:iCs/>
        </w:rPr>
        <w:t xml:space="preserve">Digital Society, 3</w:t>
      </w:r>
      <w:r>
        <w:t xml:space="preserve">(3), Article 59. </w:t>
      </w:r>
      <w:hyperlink r:id="rId58">
        <w:r>
          <w:rPr>
            <w:rStyle w:val="Hyperlink"/>
          </w:rPr>
          <w:t xml:space="preserve">https://doi.org/10.1007/s44206-024-00146-7</w:t>
        </w:r>
      </w:hyperlink>
    </w:p>
    <w:p>
      <w:pPr>
        <w:pStyle w:val="BodyText"/>
      </w:pPr>
      <w:r>
        <w:t xml:space="preserve">Gagričin, E., Naab, T. K., &amp; Grub, M. F. (2026). Algorithmic media use and algorithm literacy: An integrative literature review. </w:t>
      </w:r>
      <w:r>
        <w:rPr>
          <w:i/>
          <w:iCs/>
        </w:rPr>
        <w:t xml:space="preserve">New Media &amp; Society, 28</w:t>
      </w:r>
      <w:r>
        <w:t xml:space="preserve">, 423–447. </w:t>
      </w:r>
      <w:hyperlink r:id="rId59">
        <w:r>
          <w:rPr>
            <w:rStyle w:val="Hyperlink"/>
          </w:rPr>
          <w:t xml:space="preserve">https://doi.org/10.1177/14614448241291137</w:t>
        </w:r>
      </w:hyperlink>
    </w:p>
    <w:p>
      <w:pPr>
        <w:pStyle w:val="BodyText"/>
      </w:pPr>
      <w:r>
        <w:t xml:space="preserve">Gehl, R. W., &amp; Zulli, D. (2023). The digital covenant: Non-centralized platform governance on the Mastodon social network. </w:t>
      </w:r>
      <w:r>
        <w:rPr>
          <w:i/>
          <w:iCs/>
        </w:rPr>
        <w:t xml:space="preserve">Information, Communication &amp; Society, 26</w:t>
      </w:r>
      <w:r>
        <w:t xml:space="preserve">(16), 3275–3291. </w:t>
      </w:r>
      <w:hyperlink r:id="rId60">
        <w:r>
          <w:rPr>
            <w:rStyle w:val="Hyperlink"/>
          </w:rPr>
          <w:t xml:space="preserve">https://doi.org/10.1080/1369118X.2022.2147400</w:t>
        </w:r>
      </w:hyperlink>
    </w:p>
    <w:p>
      <w:pPr>
        <w:pStyle w:val="BodyText"/>
      </w:pPr>
      <w:r>
        <w:t xml:space="preserve">Goody, J. (1977). </w:t>
      </w:r>
      <w:r>
        <w:rPr>
          <w:i/>
          <w:iCs/>
        </w:rPr>
        <w:t xml:space="preserve">The domestication of the savage mind</w:t>
      </w:r>
      <w:r>
        <w:t xml:space="preserve">. Cambridge University Press.</w:t>
      </w:r>
    </w:p>
    <w:p>
      <w:pPr>
        <w:pStyle w:val="BodyText"/>
      </w:pPr>
      <w:r>
        <w:t xml:space="preserve">Gu, G., &amp; Zhu, F. (2021). Trust and disintermediation: Evidence from an online freelance marketplace. </w:t>
      </w:r>
      <w:r>
        <w:rPr>
          <w:i/>
          <w:iCs/>
        </w:rPr>
        <w:t xml:space="preserve">Management Science, 67</w:t>
      </w:r>
      <w:r>
        <w:t xml:space="preserve">(2), 794–807. </w:t>
      </w:r>
      <w:hyperlink r:id="rId61">
        <w:r>
          <w:rPr>
            <w:rStyle w:val="Hyperlink"/>
          </w:rPr>
          <w:t xml:space="preserve">https://doi.org/10.1287/mnsc.2020.3583</w:t>
        </w:r>
      </w:hyperlink>
    </w:p>
    <w:p>
      <w:pPr>
        <w:pStyle w:val="BodyText"/>
      </w:pPr>
      <w:r>
        <w:t xml:space="preserve">Habermas, J. (1989). </w:t>
      </w:r>
      <w:r>
        <w:rPr>
          <w:i/>
          <w:iCs/>
        </w:rPr>
        <w:t xml:space="preserve">The structural transformation of the public sphere: An inquiry into a category of bourgeois society</w:t>
      </w:r>
      <w:r>
        <w:t xml:space="preserve">(T. Burger &amp; F. Lawrence, Trans.). MIT Press. (Original work published 1962)</w:t>
      </w:r>
    </w:p>
    <w:p>
      <w:pPr>
        <w:pStyle w:val="BodyText"/>
      </w:pPr>
      <w:r>
        <w:t xml:space="preserve">Habermas, J. (1996). </w:t>
      </w:r>
      <w:r>
        <w:rPr>
          <w:i/>
          <w:iCs/>
        </w:rPr>
        <w:t xml:space="preserve">Between facts and norms: Contributions to a discourse theory of law and democracy</w:t>
      </w:r>
      <w:r>
        <w:t xml:space="preserve"> (W. Rehg, Trans.). MIT Press.</w:t>
      </w:r>
    </w:p>
    <w:p>
      <w:pPr>
        <w:pStyle w:val="BodyText"/>
      </w:pPr>
      <w:r>
        <w:t xml:space="preserve">Hahl, O., Kacperczyk, A., &amp; Davis, J. P. (2016). Knowledge asymmetry and brokerage: Linking network perception to position in structural holes. </w:t>
      </w:r>
      <w:r>
        <w:rPr>
          <w:i/>
          <w:iCs/>
        </w:rPr>
        <w:t xml:space="preserve">Strategic Organization, 14</w:t>
      </w:r>
      <w:r>
        <w:t xml:space="preserve">(2), 118–143. </w:t>
      </w:r>
      <w:hyperlink r:id="rId62">
        <w:r>
          <w:rPr>
            <w:rStyle w:val="Hyperlink"/>
          </w:rPr>
          <w:t xml:space="preserve">https://doi.org/10.1177/1476127015624274</w:t>
        </w:r>
      </w:hyperlink>
    </w:p>
    <w:p>
      <w:pPr>
        <w:pStyle w:val="BodyText"/>
      </w:pPr>
      <w:r>
        <w:t xml:space="preserve">Hildebrandt, M. (2015). </w:t>
      </w:r>
      <w:r>
        <w:rPr>
          <w:i/>
          <w:iCs/>
        </w:rPr>
        <w:t xml:space="preserve">Smart technologies and the end(s) of law: Novel entanglements of law and technology</w:t>
      </w:r>
      <w:r>
        <w:t xml:space="preserve">. Edward Elgar Publishing. </w:t>
      </w:r>
      <w:hyperlink r:id="rId63">
        <w:r>
          <w:rPr>
            <w:rStyle w:val="Hyperlink"/>
          </w:rPr>
          <w:t xml:space="preserve">https://doi.org/10.4337/9781849808774</w:t>
        </w:r>
      </w:hyperlink>
    </w:p>
    <w:p>
      <w:pPr>
        <w:pStyle w:val="BodyText"/>
      </w:pPr>
      <w:r>
        <w:t xml:space="preserve">Hirschman, A. O. (1970). </w:t>
      </w:r>
      <w:r>
        <w:rPr>
          <w:i/>
          <w:iCs/>
        </w:rPr>
        <w:t xml:space="preserve">Exit, voice, and loyalty: Responses to decline in firms, organizations, and states</w:t>
      </w:r>
      <w:r>
        <w:t xml:space="preserve">. Harvard University Press.</w:t>
      </w:r>
    </w:p>
    <w:p>
      <w:pPr>
        <w:pStyle w:val="BodyText"/>
      </w:pPr>
      <w:r>
        <w:t xml:space="preserve">Hummel, P., Braun, M., Tretter, M., &amp; Dabrock, P. (2021). Data sovereignty: A review. </w:t>
      </w:r>
      <w:r>
        <w:rPr>
          <w:i/>
          <w:iCs/>
        </w:rPr>
        <w:t xml:space="preserve">Big Data &amp; Society, 8</w:t>
      </w:r>
      <w:r>
        <w:t xml:space="preserve">(1). </w:t>
      </w:r>
      <w:hyperlink r:id="rId64">
        <w:r>
          <w:rPr>
            <w:rStyle w:val="Hyperlink"/>
          </w:rPr>
          <w:t xml:space="preserve">https://doi.org/10.1177/2053951720982012</w:t>
        </w:r>
      </w:hyperlink>
    </w:p>
    <w:p>
      <w:pPr>
        <w:pStyle w:val="BodyText"/>
      </w:pPr>
      <w:r>
        <w:t xml:space="preserve">Innis, H. A. (1951). </w:t>
      </w:r>
      <w:r>
        <w:rPr>
          <w:i/>
          <w:iCs/>
        </w:rPr>
        <w:t xml:space="preserve">The bias of communication</w:t>
      </w:r>
      <w:r>
        <w:t xml:space="preserve">. University of Toronto Press.</w:t>
      </w:r>
    </w:p>
    <w:p>
      <w:pPr>
        <w:pStyle w:val="BodyText"/>
      </w:pPr>
      <w:r>
        <w:t xml:space="preserve">Jarrahi, M. H., &amp; Sutherland, W. (2019). Algorithmic management and algorithmic competencies: Understanding and appropriating algorithms in gig work. In </w:t>
      </w:r>
      <w:r>
        <w:rPr>
          <w:i/>
          <w:iCs/>
        </w:rPr>
        <w:t xml:space="preserve">Information in contemporary society</w:t>
      </w:r>
      <w:r>
        <w:t xml:space="preserve"> (Lecture Notes in Computer Science, pp. 578–589). Springer. </w:t>
      </w:r>
      <w:hyperlink r:id="rId65">
        <w:r>
          <w:rPr>
            <w:rStyle w:val="Hyperlink"/>
          </w:rPr>
          <w:t xml:space="preserve">https://doi.org/10.1007/978-3-030-15742-5_55</w:t>
        </w:r>
      </w:hyperlink>
    </w:p>
    <w:p>
      <w:pPr>
        <w:pStyle w:val="BodyText"/>
      </w:pPr>
      <w:r>
        <w:t xml:space="preserve">Kellogg, K. C., Valentine, M. A., &amp; Christin, A. (2020). Algorithms at work: The new contested terrain of control. </w:t>
      </w:r>
      <w:r>
        <w:rPr>
          <w:i/>
          <w:iCs/>
        </w:rPr>
        <w:t xml:space="preserve">Academy of Management Annals, 14</w:t>
      </w:r>
      <w:r>
        <w:t xml:space="preserve">(1), 366–410. </w:t>
      </w:r>
      <w:hyperlink r:id="rId66">
        <w:r>
          <w:rPr>
            <w:rStyle w:val="Hyperlink"/>
          </w:rPr>
          <w:t xml:space="preserve">https://doi.org/10.5465/annals.2018.0174</w:t>
        </w:r>
      </w:hyperlink>
    </w:p>
    <w:p>
      <w:pPr>
        <w:pStyle w:val="BodyText"/>
      </w:pPr>
      <w:r>
        <w:t xml:space="preserve">Klonick, K. (2020). The Facebook Oversight Board: Creating an independent institution to adjudicate online free expression. </w:t>
      </w:r>
      <w:r>
        <w:rPr>
          <w:i/>
          <w:iCs/>
        </w:rPr>
        <w:t xml:space="preserve">Yale Law Journal, 129</w:t>
      </w:r>
      <w:r>
        <w:t xml:space="preserve">, 2418–2499.</w:t>
      </w:r>
    </w:p>
    <w:p>
      <w:pPr>
        <w:pStyle w:val="BodyText"/>
      </w:pPr>
      <w:r>
        <w:t xml:space="preserve">Lei, Y.-W. (2021). Delivering solidarity: Platform architecture and collective contention in China’s platform economy. </w:t>
      </w:r>
      <w:r>
        <w:rPr>
          <w:i/>
          <w:iCs/>
        </w:rPr>
        <w:t xml:space="preserve">American Sociological Review, 86</w:t>
      </w:r>
      <w:r>
        <w:t xml:space="preserve">(2), 279–309. </w:t>
      </w:r>
      <w:hyperlink r:id="rId67">
        <w:r>
          <w:rPr>
            <w:rStyle w:val="Hyperlink"/>
          </w:rPr>
          <w:t xml:space="preserve">https://doi.org/10.1177/0003122420979980</w:t>
        </w:r>
      </w:hyperlink>
    </w:p>
    <w:p>
      <w:pPr>
        <w:pStyle w:val="BodyText"/>
      </w:pPr>
      <w:r>
        <w:t xml:space="preserve">MacDonald, T. W. L. (2023).</w:t>
      </w:r>
      <w:r>
        <w:t xml:space="preserve"> </w:t>
      </w:r>
      <w:r>
        <w:t xml:space="preserve">“How it actually works”</w:t>
      </w:r>
      <w:r>
        <w:t xml:space="preserve">: Algorithmic lore videos as market devices. </w:t>
      </w:r>
      <w:r>
        <w:rPr>
          <w:i/>
          <w:iCs/>
        </w:rPr>
        <w:t xml:space="preserve">New Media &amp; Society, 25</w:t>
      </w:r>
      <w:r>
        <w:t xml:space="preserve">(6), 1412–1431. </w:t>
      </w:r>
      <w:hyperlink r:id="rId68">
        <w:r>
          <w:rPr>
            <w:rStyle w:val="Hyperlink"/>
          </w:rPr>
          <w:t xml:space="preserve">https://doi.org/10.1177/14614448211021404</w:t>
        </w:r>
      </w:hyperlink>
    </w:p>
    <w:p>
      <w:pPr>
        <w:pStyle w:val="BodyText"/>
      </w:pPr>
      <w:r>
        <w:t xml:space="preserve">Mackenzie, C., &amp; Stoljar, N. (Eds.). (2000). </w:t>
      </w:r>
      <w:r>
        <w:rPr>
          <w:i/>
          <w:iCs/>
        </w:rPr>
        <w:t xml:space="preserve">Relational autonomy: Feminist perspectives on autonomy, agency, and the social self</w:t>
      </w:r>
      <w:r>
        <w:t xml:space="preserve">. Oxford University Press.</w:t>
      </w:r>
    </w:p>
    <w:p>
      <w:pPr>
        <w:pStyle w:val="BodyText"/>
      </w:pPr>
      <w:r>
        <w:t xml:space="preserve">Markell, P. (2008). The insufficiency of non-domination. </w:t>
      </w:r>
      <w:r>
        <w:rPr>
          <w:i/>
          <w:iCs/>
        </w:rPr>
        <w:t xml:space="preserve">Political Theory, 36</w:t>
      </w:r>
      <w:r>
        <w:t xml:space="preserve">(1), 9–36. </w:t>
      </w:r>
      <w:hyperlink r:id="rId69">
        <w:r>
          <w:rPr>
            <w:rStyle w:val="Hyperlink"/>
          </w:rPr>
          <w:t xml:space="preserve">https://doi.org/10.1177/0090591707310084</w:t>
        </w:r>
      </w:hyperlink>
    </w:p>
    <w:p>
      <w:pPr>
        <w:pStyle w:val="BodyText"/>
      </w:pPr>
      <w:r>
        <w:t xml:space="preserve">Micheli, M., Ponti, M., Craglia, M., &amp; Berti Suman, A. (2020). Emerging models of data governance in the age of datafication. </w:t>
      </w:r>
      <w:r>
        <w:rPr>
          <w:i/>
          <w:iCs/>
        </w:rPr>
        <w:t xml:space="preserve">Big Data &amp; Society, 7</w:t>
      </w:r>
      <w:r>
        <w:t xml:space="preserve">(2). </w:t>
      </w:r>
      <w:hyperlink r:id="rId70">
        <w:r>
          <w:rPr>
            <w:rStyle w:val="Hyperlink"/>
          </w:rPr>
          <w:t xml:space="preserve">https://doi.org/10.1177/2053951720948087</w:t>
        </w:r>
      </w:hyperlink>
    </w:p>
    <w:p>
      <w:pPr>
        <w:pStyle w:val="BodyText"/>
      </w:pPr>
      <w:r>
        <w:t xml:space="preserve">Möhlmann, M., Alves de Lima Salge, C., &amp; Marabelli, M. (2023). Algorithm sensemaking: How platform workers make sense of algorithmic management. </w:t>
      </w:r>
      <w:r>
        <w:rPr>
          <w:i/>
          <w:iCs/>
        </w:rPr>
        <w:t xml:space="preserve">Journal of the Association for Information Systems, 24</w:t>
      </w:r>
      <w:r>
        <w:t xml:space="preserve">(1), 35–64. </w:t>
      </w:r>
      <w:hyperlink r:id="rId71">
        <w:r>
          <w:rPr>
            <w:rStyle w:val="Hyperlink"/>
          </w:rPr>
          <w:t xml:space="preserve">https://doi.org/10.17705/1jais.00774</w:t>
        </w:r>
      </w:hyperlink>
    </w:p>
    <w:p>
      <w:pPr>
        <w:pStyle w:val="BodyText"/>
      </w:pPr>
      <w:r>
        <w:t xml:space="preserve">Muldoon, J., &amp; Raekstad, P. (2023). Algorithmic domination in the gig economy. </w:t>
      </w:r>
      <w:r>
        <w:rPr>
          <w:i/>
          <w:iCs/>
        </w:rPr>
        <w:t xml:space="preserve">European Journal of Political Theory, 22</w:t>
      </w:r>
      <w:r>
        <w:t xml:space="preserve">(4), 587–607. </w:t>
      </w:r>
      <w:hyperlink r:id="rId72">
        <w:r>
          <w:rPr>
            <w:rStyle w:val="Hyperlink"/>
          </w:rPr>
          <w:t xml:space="preserve">https://doi.org/10.1177/14748851221082078</w:t>
        </w:r>
      </w:hyperlink>
    </w:p>
    <w:p>
      <w:pPr>
        <w:pStyle w:val="BodyText"/>
      </w:pPr>
      <w:r>
        <w:t xml:space="preserve">Nedelsky, J. (2011). </w:t>
      </w:r>
      <w:r>
        <w:rPr>
          <w:i/>
          <w:iCs/>
        </w:rPr>
        <w:t xml:space="preserve">Law’s relations: A relational theory of self, autonomy, and law</w:t>
      </w:r>
      <w:r>
        <w:t xml:space="preserve">. Oxford University Press.</w:t>
      </w:r>
    </w:p>
    <w:p>
      <w:pPr>
        <w:pStyle w:val="BodyText"/>
      </w:pPr>
      <w:r>
        <w:t xml:space="preserve">Nussbaum, M. C. (2006). Education and democratic citizenship: Capabilities and quality education. </w:t>
      </w:r>
      <w:r>
        <w:rPr>
          <w:i/>
          <w:iCs/>
        </w:rPr>
        <w:t xml:space="preserve">Journal of Human Development, 7</w:t>
      </w:r>
      <w:r>
        <w:t xml:space="preserve">(3), 385–395. </w:t>
      </w:r>
      <w:hyperlink r:id="rId73">
        <w:r>
          <w:rPr>
            <w:rStyle w:val="Hyperlink"/>
          </w:rPr>
          <w:t xml:space="preserve">https://doi.org/10.1080/14649880600815974</w:t>
        </w:r>
      </w:hyperlink>
    </w:p>
    <w:p>
      <w:pPr>
        <w:pStyle w:val="BodyText"/>
      </w:pPr>
      <w:r>
        <w:t xml:space="preserve">Obstfeld, D. (2005). Social networks, the </w:t>
      </w:r>
      <w:r>
        <w:rPr>
          <w:i/>
          <w:iCs/>
        </w:rPr>
        <w:t xml:space="preserve">tertius iungens</w:t>
      </w:r>
      <w:r>
        <w:t xml:space="preserve"> orientation, and involvement in innovation. </w:t>
      </w:r>
      <w:r>
        <w:rPr>
          <w:i/>
          <w:iCs/>
        </w:rPr>
        <w:t xml:space="preserve">Administrative Science Quarterly, 50</w:t>
      </w:r>
      <w:r>
        <w:t xml:space="preserve">(1), 100–130. </w:t>
      </w:r>
      <w:hyperlink r:id="rId74">
        <w:r>
          <w:rPr>
            <w:rStyle w:val="Hyperlink"/>
          </w:rPr>
          <w:t xml:space="preserve">https://doi.org/10.2189/asqu.2005.50.1.100</w:t>
        </w:r>
      </w:hyperlink>
    </w:p>
    <w:p>
      <w:pPr>
        <w:pStyle w:val="BodyText"/>
      </w:pPr>
      <w:r>
        <w:t xml:space="preserve">Ong, W. J. (1982). </w:t>
      </w:r>
      <w:r>
        <w:rPr>
          <w:i/>
          <w:iCs/>
        </w:rPr>
        <w:t xml:space="preserve">Orality and literacy: The technologizing of the word</w:t>
      </w:r>
      <w:r>
        <w:t xml:space="preserve">. Methuen.</w:t>
      </w:r>
    </w:p>
    <w:p>
      <w:pPr>
        <w:pStyle w:val="BodyText"/>
      </w:pPr>
      <w:r>
        <w:t xml:space="preserve">O’Reilly, T., Strauss, I., &amp; Mazzucato, M. (2024). Algorithmic attention rents: A theory of digital platform market power. </w:t>
      </w:r>
      <w:r>
        <w:rPr>
          <w:i/>
          <w:iCs/>
        </w:rPr>
        <w:t xml:space="preserve">Data &amp; Policy, 6</w:t>
      </w:r>
      <w:r>
        <w:t xml:space="preserve">, Article e6. </w:t>
      </w:r>
      <w:hyperlink r:id="rId75">
        <w:r>
          <w:rPr>
            <w:rStyle w:val="Hyperlink"/>
          </w:rPr>
          <w:t xml:space="preserve">https://doi.org/10.1017/dap.2024.1</w:t>
        </w:r>
      </w:hyperlink>
    </w:p>
    <w:p>
      <w:pPr>
        <w:pStyle w:val="BodyText"/>
      </w:pPr>
      <w:r>
        <w:t xml:space="preserve">Ostrom, E. (1990). </w:t>
      </w:r>
      <w:r>
        <w:rPr>
          <w:i/>
          <w:iCs/>
        </w:rPr>
        <w:t xml:space="preserve">Governing the commons: The evolution of institutions for collective action</w:t>
      </w:r>
      <w:r>
        <w:t xml:space="preserve">. Cambridge University Press.</w:t>
      </w:r>
    </w:p>
    <w:p>
      <w:pPr>
        <w:pStyle w:val="BodyText"/>
      </w:pPr>
      <w:r>
        <w:t xml:space="preserve">Paglayan, A. S. (2024). </w:t>
      </w:r>
      <w:r>
        <w:rPr>
          <w:i/>
          <w:iCs/>
        </w:rPr>
        <w:t xml:space="preserve">Raised to obey: The rise and spread of mass education</w:t>
      </w:r>
      <w:r>
        <w:t xml:space="preserve">. Princeton University Press. </w:t>
      </w:r>
      <w:hyperlink r:id="rId76">
        <w:r>
          <w:rPr>
            <w:rStyle w:val="Hyperlink"/>
          </w:rPr>
          <w:t xml:space="preserve">https://doi.org/10.1515/9780691261775</w:t>
        </w:r>
      </w:hyperlink>
    </w:p>
    <w:p>
      <w:pPr>
        <w:pStyle w:val="BodyText"/>
      </w:pPr>
      <w:r>
        <w:t xml:space="preserve">Pangrazio, L., &amp; Selwyn, N. (2019).</w:t>
      </w:r>
      <w:r>
        <w:t xml:space="preserve"> </w:t>
      </w:r>
      <w:r>
        <w:t xml:space="preserve">“Personal data literacies”</w:t>
      </w:r>
      <w:r>
        <w:t xml:space="preserve">: A critical literacies approach to enhancing understandings of personal digital data. </w:t>
      </w:r>
      <w:r>
        <w:rPr>
          <w:i/>
          <w:iCs/>
        </w:rPr>
        <w:t xml:space="preserve">New Media &amp; Society, 21</w:t>
      </w:r>
      <w:r>
        <w:t xml:space="preserve">(2), 419–437. </w:t>
      </w:r>
      <w:hyperlink r:id="rId77">
        <w:r>
          <w:rPr>
            <w:rStyle w:val="Hyperlink"/>
          </w:rPr>
          <w:t xml:space="preserve">https://doi.org/10.1177/1461444818799523</w:t>
        </w:r>
      </w:hyperlink>
    </w:p>
    <w:p>
      <w:pPr>
        <w:pStyle w:val="BodyText"/>
      </w:pPr>
      <w:r>
        <w:t xml:space="preserve">Parmigiani, A. (2007). Why do firms both make and buy? An investigation of concurrent sourcing. </w:t>
      </w:r>
      <w:r>
        <w:rPr>
          <w:i/>
          <w:iCs/>
        </w:rPr>
        <w:t xml:space="preserve">Strategic Management Journal, 28</w:t>
      </w:r>
      <w:r>
        <w:t xml:space="preserve">(3), 285–311. </w:t>
      </w:r>
      <w:hyperlink r:id="rId78">
        <w:r>
          <w:rPr>
            <w:rStyle w:val="Hyperlink"/>
          </w:rPr>
          <w:t xml:space="preserve">https://doi.org/10.1002/smj.580</w:t>
        </w:r>
      </w:hyperlink>
    </w:p>
    <w:p>
      <w:pPr>
        <w:pStyle w:val="BodyText"/>
      </w:pPr>
      <w:r>
        <w:t xml:space="preserve">Pasquale, F. (2023). Two visions for data governance: Territorial vs. functional sovereignty. In A. Chander &amp; H. Sun (Eds.), </w:t>
      </w:r>
      <w:r>
        <w:rPr>
          <w:i/>
          <w:iCs/>
        </w:rPr>
        <w:t xml:space="preserve">Data sovereignty: From the digital silk road to the return of the state</w:t>
      </w:r>
      <w:r>
        <w:t xml:space="preserve"> (pp. 35–48). Oxford University Press. </w:t>
      </w:r>
      <w:hyperlink r:id="rId79">
        <w:r>
          <w:rPr>
            <w:rStyle w:val="Hyperlink"/>
          </w:rPr>
          <w:t xml:space="preserve">https://doi.org/10.1093/oso/9780197582794.003.0002</w:t>
        </w:r>
      </w:hyperlink>
    </w:p>
    <w:p>
      <w:pPr>
        <w:pStyle w:val="BodyText"/>
      </w:pPr>
      <w:r>
        <w:t xml:space="preserve">Petre, C., Duffy, B. E., &amp; Hund, E. (2019).</w:t>
      </w:r>
      <w:r>
        <w:t xml:space="preserve"> </w:t>
      </w:r>
      <w:r>
        <w:t xml:space="preserve">“Gaming the system”</w:t>
      </w:r>
      <w:r>
        <w:t xml:space="preserve">: Platform paternalism and the politics of algorithmic visibility. </w:t>
      </w:r>
      <w:r>
        <w:rPr>
          <w:i/>
          <w:iCs/>
        </w:rPr>
        <w:t xml:space="preserve">Social Media + Society, 5</w:t>
      </w:r>
      <w:r>
        <w:t xml:space="preserve">(4). </w:t>
      </w:r>
      <w:hyperlink r:id="rId80">
        <w:r>
          <w:rPr>
            <w:rStyle w:val="Hyperlink"/>
          </w:rPr>
          <w:t xml:space="preserve">https://doi.org/10.1177/2056305119879995</w:t>
        </w:r>
      </w:hyperlink>
    </w:p>
    <w:p>
      <w:pPr>
        <w:pStyle w:val="BodyText"/>
      </w:pPr>
      <w:r>
        <w:t xml:space="preserve">Pettit, P. (1997). </w:t>
      </w:r>
      <w:r>
        <w:rPr>
          <w:i/>
          <w:iCs/>
        </w:rPr>
        <w:t xml:space="preserve">Republicanism: A theory of freedom and government</w:t>
      </w:r>
      <w:r>
        <w:t xml:space="preserve">. Oxford University Press.</w:t>
      </w:r>
    </w:p>
    <w:p>
      <w:pPr>
        <w:pStyle w:val="BodyText"/>
      </w:pPr>
      <w:r>
        <w:t xml:space="preserve">Pettit, P. (2016). The globalized republican ideal. </w:t>
      </w:r>
      <w:r>
        <w:rPr>
          <w:i/>
          <w:iCs/>
        </w:rPr>
        <w:t xml:space="preserve">Global Justice: Theory Practice Rhetoric, 9</w:t>
      </w:r>
      <w:r>
        <w:t xml:space="preserve">(1), 47–68. </w:t>
      </w:r>
      <w:hyperlink r:id="rId81">
        <w:r>
          <w:rPr>
            <w:rStyle w:val="Hyperlink"/>
          </w:rPr>
          <w:t xml:space="preserve">https://doi.org/10.21248/gjn.9.1.101</w:t>
        </w:r>
      </w:hyperlink>
    </w:p>
    <w:p>
      <w:pPr>
        <w:pStyle w:val="BodyText"/>
      </w:pPr>
      <w:r>
        <w:t xml:space="preserve">Pohle, J., &amp; Thiel, T. (2020). Digital sovereignty. </w:t>
      </w:r>
      <w:r>
        <w:rPr>
          <w:i/>
          <w:iCs/>
        </w:rPr>
        <w:t xml:space="preserve">Internet Policy Review, 9</w:t>
      </w:r>
      <w:r>
        <w:t xml:space="preserve">(4). </w:t>
      </w:r>
      <w:hyperlink r:id="rId82">
        <w:r>
          <w:rPr>
            <w:rStyle w:val="Hyperlink"/>
          </w:rPr>
          <w:t xml:space="preserve">https://doi.org/10.14763/2020.4.1532</w:t>
        </w:r>
      </w:hyperlink>
    </w:p>
    <w:p>
      <w:pPr>
        <w:pStyle w:val="BodyText"/>
      </w:pPr>
      <w:r>
        <w:t xml:space="preserve">Powell, W. W. (1990). Neither market nor hierarchy: Network forms of organization. </w:t>
      </w:r>
      <w:r>
        <w:rPr>
          <w:i/>
          <w:iCs/>
        </w:rPr>
        <w:t xml:space="preserve">Research in Organizational Behavior, 12</w:t>
      </w:r>
      <w:r>
        <w:t xml:space="preserve">, 295–336.</w:t>
      </w:r>
    </w:p>
    <w:p>
      <w:pPr>
        <w:pStyle w:val="BodyText"/>
      </w:pPr>
      <w:r>
        <w:t xml:space="preserve">Rahman, H. A. (2021). The invisible cage: Workers’ reactivity to opaque algorithmic evaluations. </w:t>
      </w:r>
      <w:r>
        <w:rPr>
          <w:i/>
          <w:iCs/>
        </w:rPr>
        <w:t xml:space="preserve">Administrative Science Quarterly, 66</w:t>
      </w:r>
      <w:r>
        <w:t xml:space="preserve">(4), 945–988. </w:t>
      </w:r>
      <w:hyperlink r:id="rId83">
        <w:r>
          <w:rPr>
            <w:rStyle w:val="Hyperlink"/>
          </w:rPr>
          <w:t xml:space="preserve">https://doi.org/10.1177/00018392211010118</w:t>
        </w:r>
      </w:hyperlink>
    </w:p>
    <w:p>
      <w:pPr>
        <w:pStyle w:val="BodyText"/>
      </w:pPr>
      <w:r>
        <w:t xml:space="preserve">Rahman, H. A., Karunakaran, A., &amp; Cameron, L. D. (2024). Taming platform power: Taking accountability into account in platform management. </w:t>
      </w:r>
      <w:r>
        <w:rPr>
          <w:i/>
          <w:iCs/>
        </w:rPr>
        <w:t xml:space="preserve">Academy of Management Annals, 18</w:t>
      </w:r>
      <w:r>
        <w:t xml:space="preserve">(1), 251–294. </w:t>
      </w:r>
      <w:hyperlink r:id="rId84">
        <w:r>
          <w:rPr>
            <w:rStyle w:val="Hyperlink"/>
          </w:rPr>
          <w:t xml:space="preserve">https://doi.org/10.5465/annals.2022.0090</w:t>
        </w:r>
      </w:hyperlink>
    </w:p>
    <w:p>
      <w:pPr>
        <w:pStyle w:val="BodyText"/>
      </w:pPr>
      <w:r>
        <w:t xml:space="preserve">Repetto, E. (2025). Concept</w:t>
      </w:r>
      <w:r>
        <w:t xml:space="preserve"> </w:t>
      </w:r>
      <w:r>
        <w:t xml:space="preserve">“stretching”</w:t>
      </w:r>
      <w:r>
        <w:t xml:space="preserve"> </w:t>
      </w:r>
      <w:r>
        <w:t xml:space="preserve">or concept innovation? A review of the usages of sovereignty in the digital sovereignty literature. </w:t>
      </w:r>
      <w:r>
        <w:rPr>
          <w:i/>
          <w:iCs/>
        </w:rPr>
        <w:t xml:space="preserve">Policy &amp; Internet, 17</w:t>
      </w:r>
      <w:r>
        <w:t xml:space="preserve">(3), Article e70011. </w:t>
      </w:r>
      <w:hyperlink r:id="rId85">
        <w:r>
          <w:rPr>
            <w:rStyle w:val="Hyperlink"/>
          </w:rPr>
          <w:t xml:space="preserve">https://doi.org/10.1002/poi3.70011</w:t>
        </w:r>
      </w:hyperlink>
    </w:p>
    <w:p>
      <w:pPr>
        <w:pStyle w:val="BodyText"/>
      </w:pPr>
      <w:r>
        <w:t xml:space="preserve">Roberts, H., Cowls, J., Casolari, F., Morley, J., Taddeo, M., &amp; Floridi, L. (2021). Safeguarding European values with digital sovereignty: An analysis of statements and policies. </w:t>
      </w:r>
      <w:r>
        <w:rPr>
          <w:i/>
          <w:iCs/>
        </w:rPr>
        <w:t xml:space="preserve">Internet Policy Review, 10</w:t>
      </w:r>
      <w:r>
        <w:t xml:space="preserve">(3). </w:t>
      </w:r>
      <w:hyperlink r:id="rId86">
        <w:r>
          <w:rPr>
            <w:rStyle w:val="Hyperlink"/>
          </w:rPr>
          <w:t xml:space="preserve">https://doi.org/10.14763/2021.3.1575</w:t>
        </w:r>
      </w:hyperlink>
    </w:p>
    <w:p>
      <w:pPr>
        <w:pStyle w:val="BodyText"/>
      </w:pPr>
      <w:r>
        <w:t xml:space="preserve">Robinson, A. P., Jarrahi, M. H., Keegan, A., &amp; Meijerink, J. (2026). Algorithmic management in limbo: Task-driven interweaving of hierarchy and market management. </w:t>
      </w:r>
      <w:r>
        <w:rPr>
          <w:i/>
          <w:iCs/>
        </w:rPr>
        <w:t xml:space="preserve">Human Resource Management, 65</w:t>
      </w:r>
      <w:r>
        <w:t xml:space="preserve">(1), 117–131. </w:t>
      </w:r>
      <w:hyperlink r:id="rId87">
        <w:r>
          <w:rPr>
            <w:rStyle w:val="Hyperlink"/>
          </w:rPr>
          <w:t xml:space="preserve">https://doi.org/10.1002/hrm.70019</w:t>
        </w:r>
      </w:hyperlink>
    </w:p>
    <w:p>
      <w:pPr>
        <w:pStyle w:val="BodyText"/>
      </w:pPr>
      <w:r>
        <w:t xml:space="preserve">Rochet, J.-C., &amp; Tirole, J. (2003). Platform competition in two-sided markets. </w:t>
      </w:r>
      <w:r>
        <w:rPr>
          <w:i/>
          <w:iCs/>
        </w:rPr>
        <w:t xml:space="preserve">Journal of the European Economic Association, 1</w:t>
      </w:r>
      <w:r>
        <w:t xml:space="preserve">(4), 990–1029. </w:t>
      </w:r>
      <w:hyperlink r:id="rId88">
        <w:r>
          <w:rPr>
            <w:rStyle w:val="Hyperlink"/>
          </w:rPr>
          <w:t xml:space="preserve">https://doi.org/10.1162/154247603322493212</w:t>
        </w:r>
      </w:hyperlink>
    </w:p>
    <w:p>
      <w:pPr>
        <w:pStyle w:val="BodyText"/>
      </w:pPr>
      <w:r>
        <w:t xml:space="preserve">Ryall, M. D., &amp; Sorenson, O. (2007). Brokers and competitive advantage. </w:t>
      </w:r>
      <w:r>
        <w:rPr>
          <w:i/>
          <w:iCs/>
        </w:rPr>
        <w:t xml:space="preserve">Management Science, 53</w:t>
      </w:r>
      <w:r>
        <w:t xml:space="preserve">(4), 566–583. </w:t>
      </w:r>
      <w:hyperlink r:id="rId89">
        <w:r>
          <w:rPr>
            <w:rStyle w:val="Hyperlink"/>
          </w:rPr>
          <w:t xml:space="preserve">https://doi.org/10.1287/mnsc.1060.0675</w:t>
        </w:r>
      </w:hyperlink>
    </w:p>
    <w:p>
      <w:pPr>
        <w:pStyle w:val="BodyText"/>
      </w:pPr>
      <w:r>
        <w:t xml:space="preserve">Sander, I. (2020). What is critical big data literacy and how can it be implemented? </w:t>
      </w:r>
      <w:r>
        <w:rPr>
          <w:i/>
          <w:iCs/>
        </w:rPr>
        <w:t xml:space="preserve">Internet Policy Review, 9</w:t>
      </w:r>
      <w:r>
        <w:t xml:space="preserve">(2). </w:t>
      </w:r>
      <w:hyperlink r:id="rId90">
        <w:r>
          <w:rPr>
            <w:rStyle w:val="Hyperlink"/>
          </w:rPr>
          <w:t xml:space="preserve">https://doi.org/10.14763/2020.2.1479</w:t>
        </w:r>
      </w:hyperlink>
    </w:p>
    <w:p>
      <w:pPr>
        <w:pStyle w:val="BodyText"/>
      </w:pPr>
      <w:r>
        <w:t xml:space="preserve">Schegg, R. (2024). </w:t>
      </w:r>
      <w:r>
        <w:rPr>
          <w:i/>
          <w:iCs/>
        </w:rPr>
        <w:t xml:space="preserve">European hotel distribution study 2024: Results for the reference year 2023</w:t>
      </w:r>
      <w:r>
        <w:t xml:space="preserve">. HES-SO Valais-Wallis, Institute of Tourism, for HOTREC.</w:t>
      </w:r>
    </w:p>
    <w:p>
      <w:pPr>
        <w:pStyle w:val="BodyText"/>
      </w:pPr>
      <w:r>
        <w:t xml:space="preserve">Schlager, E., &amp; Ostrom, E. (1992). Property-rights regimes and natural resources: A conceptual analysis. </w:t>
      </w:r>
      <w:r>
        <w:rPr>
          <w:i/>
          <w:iCs/>
        </w:rPr>
        <w:t xml:space="preserve">Land Economics, 68</w:t>
      </w:r>
      <w:r>
        <w:t xml:space="preserve">(3), 249–262. </w:t>
      </w:r>
      <w:hyperlink r:id="rId91">
        <w:r>
          <w:rPr>
            <w:rStyle w:val="Hyperlink"/>
          </w:rPr>
          <w:t xml:space="preserve">https://doi.org/10.2307/3146375</w:t>
        </w:r>
      </w:hyperlink>
    </w:p>
    <w:p>
      <w:pPr>
        <w:pStyle w:val="BodyText"/>
      </w:pPr>
      <w:r>
        <w:t xml:space="preserve">Schmuntzsch, U., Shajek, A., &amp; Hartmann, E. A. (Eds.). (2025). </w:t>
      </w:r>
      <w:r>
        <w:rPr>
          <w:i/>
          <w:iCs/>
        </w:rPr>
        <w:t xml:space="preserve">New digital work II: Digital sovereignty of companies and organizations</w:t>
      </w:r>
      <w:r>
        <w:t xml:space="preserve">. Springer. </w:t>
      </w:r>
      <w:hyperlink r:id="rId92">
        <w:r>
          <w:rPr>
            <w:rStyle w:val="Hyperlink"/>
          </w:rPr>
          <w:t xml:space="preserve">https://doi.org/10.1007/978-3-031-69994-8</w:t>
        </w:r>
      </w:hyperlink>
    </w:p>
    <w:p>
      <w:pPr>
        <w:pStyle w:val="BodyText"/>
      </w:pPr>
      <w:r>
        <w:t xml:space="preserve">Scholz, T. (2016). </w:t>
      </w:r>
      <w:r>
        <w:rPr>
          <w:i/>
          <w:iCs/>
        </w:rPr>
        <w:t xml:space="preserve">Platform cooperativism: Challenging the corporate sharing economy</w:t>
      </w:r>
      <w:r>
        <w:t xml:space="preserve">. Rosa Luxemburg Stiftung.</w:t>
      </w:r>
    </w:p>
    <w:p>
      <w:pPr>
        <w:pStyle w:val="BodyText"/>
      </w:pPr>
      <w:r>
        <w:t xml:space="preserve">Scott, J. C. (1998). </w:t>
      </w:r>
      <w:r>
        <w:rPr>
          <w:i/>
          <w:iCs/>
        </w:rPr>
        <w:t xml:space="preserve">Seeing like a state: How certain schemes to improve the human condition have failed</w:t>
      </w:r>
      <w:r>
        <w:t xml:space="preserve">. Yale University Press.</w:t>
      </w:r>
    </w:p>
    <w:p>
      <w:pPr>
        <w:pStyle w:val="BodyText"/>
      </w:pPr>
      <w:r>
        <w:t xml:space="preserve">Scribner, S., &amp; Cole, M. (1981). </w:t>
      </w:r>
      <w:r>
        <w:rPr>
          <w:i/>
          <w:iCs/>
        </w:rPr>
        <w:t xml:space="preserve">The psychology of literacy</w:t>
      </w:r>
      <w:r>
        <w:t xml:space="preserve">. Harvard University Press.</w:t>
      </w:r>
    </w:p>
    <w:p>
      <w:pPr>
        <w:pStyle w:val="BodyText"/>
      </w:pPr>
      <w:r>
        <w:t xml:space="preserve">Sekar, S., &amp; Siddiq, A. (2026). Platform disintermediation: Information effects and pricing remedies. </w:t>
      </w:r>
      <w:r>
        <w:rPr>
          <w:i/>
          <w:iCs/>
        </w:rPr>
        <w:t xml:space="preserve">Operations Research, 74</w:t>
      </w:r>
      <w:r>
        <w:t xml:space="preserve">(3), 1304–1320. </w:t>
      </w:r>
      <w:hyperlink r:id="rId93">
        <w:r>
          <w:rPr>
            <w:rStyle w:val="Hyperlink"/>
          </w:rPr>
          <w:t xml:space="preserve">https://doi.org/10.1287/opre.2025.2046</w:t>
        </w:r>
      </w:hyperlink>
    </w:p>
    <w:p>
      <w:pPr>
        <w:pStyle w:val="BodyText"/>
      </w:pPr>
      <w:r>
        <w:t xml:space="preserve">Selznick, P. (1949). </w:t>
      </w:r>
      <w:r>
        <w:rPr>
          <w:i/>
          <w:iCs/>
        </w:rPr>
        <w:t xml:space="preserve">TVA and the grass roots: A study in the sociology of formal organization</w:t>
      </w:r>
      <w:r>
        <w:t xml:space="preserve">. University of California Press.</w:t>
      </w:r>
    </w:p>
    <w:p>
      <w:pPr>
        <w:pStyle w:val="BodyText"/>
      </w:pPr>
      <w:r>
        <w:t xml:space="preserve">Sen, A. (1999). </w:t>
      </w:r>
      <w:r>
        <w:rPr>
          <w:i/>
          <w:iCs/>
        </w:rPr>
        <w:t xml:space="preserve">Development as freedom</w:t>
      </w:r>
      <w:r>
        <w:t xml:space="preserve">. Alfred A. Knopf.</w:t>
      </w:r>
    </w:p>
    <w:p>
      <w:pPr>
        <w:pStyle w:val="BodyText"/>
      </w:pPr>
      <w:r>
        <w:t xml:space="preserve">Simmel, G. (1950). </w:t>
      </w:r>
      <w:r>
        <w:rPr>
          <w:i/>
          <w:iCs/>
        </w:rPr>
        <w:t xml:space="preserve">The sociology of Georg Simmel</w:t>
      </w:r>
      <w:r>
        <w:t xml:space="preserve"> (K. H. Wolff, Ed. &amp; Trans.). Free Press. (Original work published 1908)</w:t>
      </w:r>
    </w:p>
    <w:p>
      <w:pPr>
        <w:pStyle w:val="BodyText"/>
      </w:pPr>
      <w:r>
        <w:t xml:space="preserve">Skinner, Q. (1998). </w:t>
      </w:r>
      <w:r>
        <w:rPr>
          <w:i/>
          <w:iCs/>
        </w:rPr>
        <w:t xml:space="preserve">Liberty before liberalism</w:t>
      </w:r>
      <w:r>
        <w:t xml:space="preserve">. Cambridge University Press.</w:t>
      </w:r>
    </w:p>
    <w:p>
      <w:pPr>
        <w:pStyle w:val="BodyText"/>
      </w:pPr>
      <w:r>
        <w:t xml:space="preserve">Spreitzer, G. M. (1995). Psychological empowerment in the workplace: Dimensions, measurement, and validation. </w:t>
      </w:r>
      <w:r>
        <w:rPr>
          <w:i/>
          <w:iCs/>
        </w:rPr>
        <w:t xml:space="preserve">Academy of Management Journal, 38</w:t>
      </w:r>
      <w:r>
        <w:t xml:space="preserve">(5), 1442–1465. </w:t>
      </w:r>
      <w:hyperlink r:id="rId94">
        <w:r>
          <w:rPr>
            <w:rStyle w:val="Hyperlink"/>
          </w:rPr>
          <w:t xml:space="preserve">https://doi.org/10.5465/256865</w:t>
        </w:r>
      </w:hyperlink>
    </w:p>
    <w:p>
      <w:pPr>
        <w:pStyle w:val="BodyText"/>
      </w:pPr>
      <w:r>
        <w:t xml:space="preserve">Stadnik, I. (2021). Control by infrastructure: Political ambitions meet technical implementations in RuNet. </w:t>
      </w:r>
      <w:r>
        <w:rPr>
          <w:i/>
          <w:iCs/>
        </w:rPr>
        <w:t xml:space="preserve">First Monday, 26</w:t>
      </w:r>
      <w:r>
        <w:t xml:space="preserve">(5). </w:t>
      </w:r>
      <w:hyperlink r:id="rId95">
        <w:r>
          <w:rPr>
            <w:rStyle w:val="Hyperlink"/>
          </w:rPr>
          <w:t xml:space="preserve">https://doi.org/10.5210/fm.v26i5.11693</w:t>
        </w:r>
      </w:hyperlink>
    </w:p>
    <w:p>
      <w:pPr>
        <w:pStyle w:val="BodyText"/>
      </w:pPr>
      <w:r>
        <w:t xml:space="preserve">Stark, D., &amp; Pais, I. (2020). Algorithmic management in the platform economy. </w:t>
      </w:r>
      <w:r>
        <w:rPr>
          <w:i/>
          <w:iCs/>
        </w:rPr>
        <w:t xml:space="preserve">Sociologica, 14</w:t>
      </w:r>
      <w:r>
        <w:t xml:space="preserve">(3), 47–72. </w:t>
      </w:r>
      <w:hyperlink r:id="rId96">
        <w:r>
          <w:rPr>
            <w:rStyle w:val="Hyperlink"/>
          </w:rPr>
          <w:t xml:space="preserve">https://doi.org/10.6092/issn.1971-8853/12221</w:t>
        </w:r>
      </w:hyperlink>
    </w:p>
    <w:p>
      <w:pPr>
        <w:pStyle w:val="BodyText"/>
      </w:pPr>
      <w:r>
        <w:t xml:space="preserve">Stark, D., &amp; Vanden Broeck, P. (2024). Principles of algorithmic management. </w:t>
      </w:r>
      <w:r>
        <w:rPr>
          <w:i/>
          <w:iCs/>
        </w:rPr>
        <w:t xml:space="preserve">Organization Theory, 5</w:t>
      </w:r>
      <w:r>
        <w:t xml:space="preserve">(2), 1–24. </w:t>
      </w:r>
      <w:hyperlink r:id="rId97">
        <w:r>
          <w:rPr>
            <w:rStyle w:val="Hyperlink"/>
          </w:rPr>
          <w:t xml:space="preserve">https://doi.org/10.1177/26317877241257213</w:t>
        </w:r>
      </w:hyperlink>
    </w:p>
    <w:p>
      <w:pPr>
        <w:pStyle w:val="BodyText"/>
      </w:pPr>
      <w:r>
        <w:t xml:space="preserve">Street, B. V. (1984). </w:t>
      </w:r>
      <w:r>
        <w:rPr>
          <w:i/>
          <w:iCs/>
        </w:rPr>
        <w:t xml:space="preserve">Literacy in theory and practice</w:t>
      </w:r>
      <w:r>
        <w:t xml:space="preserve">. Cambridge University Press.</w:t>
      </w:r>
    </w:p>
    <w:p>
      <w:pPr>
        <w:pStyle w:val="BodyText"/>
      </w:pPr>
      <w:r>
        <w:t xml:space="preserve">Sutherland, W., Jarrahi, M. H., Dunn, M., &amp; Nelson, S. B. (2020). Work precarity and gig literacies in online freelancing. </w:t>
      </w:r>
      <w:r>
        <w:rPr>
          <w:i/>
          <w:iCs/>
        </w:rPr>
        <w:t xml:space="preserve">Work, Employment and Society, 34</w:t>
      </w:r>
      <w:r>
        <w:t xml:space="preserve">(3), 457–475. </w:t>
      </w:r>
      <w:hyperlink r:id="rId98">
        <w:r>
          <w:rPr>
            <w:rStyle w:val="Hyperlink"/>
          </w:rPr>
          <w:t xml:space="preserve">https://doi.org/10.1177/0950017019886511</w:t>
        </w:r>
      </w:hyperlink>
    </w:p>
    <w:p>
      <w:pPr>
        <w:pStyle w:val="BodyText"/>
      </w:pPr>
      <w:r>
        <w:t xml:space="preserve">Thompson, G. F. (2003). </w:t>
      </w:r>
      <w:r>
        <w:rPr>
          <w:i/>
          <w:iCs/>
        </w:rPr>
        <w:t xml:space="preserve">Between hierarchies and markets: The logic and limits of network forms of organization</w:t>
      </w:r>
      <w:r>
        <w:t xml:space="preserve">. Oxford University Press.</w:t>
      </w:r>
    </w:p>
    <w:p>
      <w:pPr>
        <w:pStyle w:val="BodyText"/>
      </w:pPr>
      <w:r>
        <w:t xml:space="preserve">Thompson, J. D. (1967). </w:t>
      </w:r>
      <w:r>
        <w:rPr>
          <w:i/>
          <w:iCs/>
        </w:rPr>
        <w:t xml:space="preserve">Organizations in action: Social science bases of administrative theory</w:t>
      </w:r>
      <w:r>
        <w:t xml:space="preserve">. McGraw-Hill.</w:t>
      </w:r>
    </w:p>
    <w:p>
      <w:pPr>
        <w:pStyle w:val="BodyText"/>
      </w:pPr>
      <w:r>
        <w:t xml:space="preserve">Tortorici, S. (2026). The blown head gasket effect: Rise and struggles of The Drivers Cooperative in New York City. </w:t>
      </w:r>
      <w:r>
        <w:rPr>
          <w:i/>
          <w:iCs/>
        </w:rPr>
        <w:t xml:space="preserve">Internet Policy Review, 15</w:t>
      </w:r>
      <w:r>
        <w:t xml:space="preserve">(1). </w:t>
      </w:r>
      <w:hyperlink r:id="rId99">
        <w:r>
          <w:rPr>
            <w:rStyle w:val="Hyperlink"/>
          </w:rPr>
          <w:t xml:space="preserve">https://doi.org/10.14763/2026.1.2063</w:t>
        </w:r>
      </w:hyperlink>
    </w:p>
    <w:p>
      <w:pPr>
        <w:pStyle w:val="BodyText"/>
      </w:pPr>
      <w:r>
        <w:t xml:space="preserve">Vallas, S., &amp; Schor, J. B. (2020). What do platforms do? Understanding the gig economy. </w:t>
      </w:r>
      <w:r>
        <w:rPr>
          <w:i/>
          <w:iCs/>
        </w:rPr>
        <w:t xml:space="preserve">Annual Review of Sociology, 46</w:t>
      </w:r>
      <w:r>
        <w:t xml:space="preserve">, 273–294. </w:t>
      </w:r>
      <w:hyperlink r:id="rId100">
        <w:r>
          <w:rPr>
            <w:rStyle w:val="Hyperlink"/>
          </w:rPr>
          <w:t xml:space="preserve">https://doi.org/10.1146/annurev-soc-121919-054857</w:t>
        </w:r>
      </w:hyperlink>
    </w:p>
    <w:p>
      <w:pPr>
        <w:pStyle w:val="BodyText"/>
      </w:pPr>
      <w:r>
        <w:t xml:space="preserve">Williamson, O. E. (1975). </w:t>
      </w:r>
      <w:r>
        <w:rPr>
          <w:i/>
          <w:iCs/>
        </w:rPr>
        <w:t xml:space="preserve">Markets and hierarchies: Analysis and antitrust implications</w:t>
      </w:r>
      <w:r>
        <w:t xml:space="preserve">. Free Press.</w:t>
      </w:r>
    </w:p>
    <w:p>
      <w:pPr>
        <w:pStyle w:val="BodyText"/>
      </w:pPr>
      <w:r>
        <w:t xml:space="preserve">Wood, A. J., Graham, M., Lehdonvirta, V., &amp; Hjorth, I. (2019). Good gig, bad gig: Autonomy and algorithmic control in the global gig economy. </w:t>
      </w:r>
      <w:r>
        <w:rPr>
          <w:i/>
          <w:iCs/>
        </w:rPr>
        <w:t xml:space="preserve">Work, Employment and Society, 33</w:t>
      </w:r>
      <w:r>
        <w:t xml:space="preserve">(1), 56–75. </w:t>
      </w:r>
      <w:hyperlink r:id="rId101">
        <w:r>
          <w:rPr>
            <w:rStyle w:val="Hyperlink"/>
          </w:rPr>
          <w:t xml:space="preserve">https://doi.org/10.1177/0950017018785616</w:t>
        </w:r>
      </w:hyperlink>
    </w:p>
    <w:p>
      <w:pPr>
        <w:pStyle w:val="BodyText"/>
      </w:pPr>
      <w:r>
        <w:t xml:space="preserve">Zuboff, S. (2019). </w:t>
      </w:r>
      <w:r>
        <w:rPr>
          <w:i/>
          <w:iCs/>
        </w:rPr>
        <w:t xml:space="preserve">The age of surveillance capitalism: The fight for a human future at the new frontier of power</w:t>
      </w:r>
      <w:r>
        <w:t xml:space="preserve">. PublicAffairs.</w:t>
      </w:r>
    </w:p>
    <w:bookmarkStart w:id="102" w:name="cases"/>
    <w:p>
      <w:pPr>
        <w:pStyle w:val="Heading3"/>
      </w:pPr>
      <w:r>
        <w:t xml:space="preserve">Cases</w:t>
      </w:r>
    </w:p>
    <w:p>
      <w:pPr>
        <w:pStyle w:val="FirstParagraph"/>
      </w:pPr>
      <w:r>
        <w:t xml:space="preserve">Case C-264/23, </w:t>
      </w:r>
      <w:hyperlink r:id="rId24">
        <w:r>
          <w:rPr>
            <w:rStyle w:val="Hyperlink"/>
            <w:i/>
            <w:iCs/>
          </w:rPr>
          <w:t xml:space="preserve">Booking.com</w:t>
        </w:r>
      </w:hyperlink>
      <w:r>
        <w:rPr>
          <w:i/>
          <w:iCs/>
        </w:rPr>
        <w:t xml:space="preserve"> </w:t>
      </w:r>
      <w:r>
        <w:rPr>
          <w:i/>
          <w:iCs/>
        </w:rPr>
        <w:t xml:space="preserve">BV v. 25hours Hotel Company Berlin GmbH and Others</w:t>
      </w:r>
      <w:r>
        <w:t xml:space="preserve">, ECLI:EU:C:2024:764 (Judgment of the Court, 19 September 2024).</w:t>
      </w:r>
    </w:p>
    <w:p>
      <w:pPr>
        <w:pStyle w:val="BodyText"/>
      </w:pPr>
      <w:r>
        <w:t xml:space="preserve">Case T-438/25, </w:t>
      </w:r>
      <w:r>
        <w:rPr>
          <w:i/>
          <w:iCs/>
        </w:rPr>
        <w:t xml:space="preserve">Apple v. Commission</w:t>
      </w:r>
      <w:r>
        <w:t xml:space="preserve"> (action brought 7 July 2025, pending; OJ C/2025/5215).</w:t>
      </w:r>
    </w:p>
    <w:bookmarkEnd w:id="102"/>
    <w:bookmarkEnd w:id="103"/>
    <w:bookmarkStart w:id="104" w:name="additional-reading"/>
    <w:p>
      <w:pPr>
        <w:pStyle w:val="Heading2"/>
      </w:pPr>
      <w:r>
        <w:t xml:space="preserve">Additional Reading</w:t>
      </w:r>
    </w:p>
    <w:p>
      <w:pPr>
        <w:pStyle w:val="FirstParagraph"/>
      </w:pPr>
      <w:r>
        <w:t xml:space="preserve">Benkler, Y. (2006). </w:t>
      </w:r>
      <w:r>
        <w:rPr>
          <w:i/>
          <w:iCs/>
        </w:rPr>
        <w:t xml:space="preserve">The wealth of networks: How social production transforms markets and freedom</w:t>
      </w:r>
      <w:r>
        <w:t xml:space="preserve">. Yale University Press.</w:t>
      </w:r>
    </w:p>
    <w:p>
      <w:pPr>
        <w:pStyle w:val="BodyText"/>
      </w:pPr>
      <w:r>
        <w:t xml:space="preserve">Bratton, B. H. (2015). </w:t>
      </w:r>
      <w:r>
        <w:rPr>
          <w:i/>
          <w:iCs/>
        </w:rPr>
        <w:t xml:space="preserve">The stack: On software and sovereignty</w:t>
      </w:r>
      <w:r>
        <w:t xml:space="preserve">. MIT Press.</w:t>
      </w:r>
    </w:p>
    <w:p>
      <w:pPr>
        <w:pStyle w:val="BodyText"/>
      </w:pPr>
      <w:r>
        <w:t xml:space="preserve">Couldry, N., &amp; Mejias, U. A. (2019). </w:t>
      </w:r>
      <w:r>
        <w:rPr>
          <w:i/>
          <w:iCs/>
        </w:rPr>
        <w:t xml:space="preserve">The costs of connection: How data is colonizing human life and appropriating it for capitalism</w:t>
      </w:r>
      <w:r>
        <w:t xml:space="preserve">. Stanford University Press.</w:t>
      </w:r>
    </w:p>
    <w:p>
      <w:pPr>
        <w:pStyle w:val="BodyText"/>
      </w:pPr>
      <w:r>
        <w:t xml:space="preserve">Crawford, K. (2021). </w:t>
      </w:r>
      <w:r>
        <w:rPr>
          <w:i/>
          <w:iCs/>
        </w:rPr>
        <w:t xml:space="preserve">Atlas of AI: Power, politics, and the planetary costs of artificial intelligence</w:t>
      </w:r>
      <w:r>
        <w:t xml:space="preserve">. Yale University Press.</w:t>
      </w:r>
    </w:p>
    <w:p>
      <w:pPr>
        <w:pStyle w:val="BodyText"/>
      </w:pPr>
      <w:r>
        <w:t xml:space="preserve">Gillespie, T. (2018). </w:t>
      </w:r>
      <w:r>
        <w:rPr>
          <w:i/>
          <w:iCs/>
        </w:rPr>
        <w:t xml:space="preserve">Custodians of the Internet: Platforms, content moderation, and the hidden decisions that shape social media</w:t>
      </w:r>
      <w:r>
        <w:t xml:space="preserve">. Yale University Press.</w:t>
      </w:r>
    </w:p>
    <w:p>
      <w:pPr>
        <w:pStyle w:val="BodyText"/>
      </w:pPr>
      <w:r>
        <w:t xml:space="preserve">Krasner, S. D. (1999). </w:t>
      </w:r>
      <w:r>
        <w:rPr>
          <w:i/>
          <w:iCs/>
        </w:rPr>
        <w:t xml:space="preserve">Sovereignty: Organized hypocrisy</w:t>
      </w:r>
      <w:r>
        <w:t xml:space="preserve">. Princeton University Press.</w:t>
      </w:r>
    </w:p>
    <w:p>
      <w:pPr>
        <w:pStyle w:val="BodyText"/>
      </w:pPr>
      <w:r>
        <w:t xml:space="preserve">Pasquale, F. (2015). </w:t>
      </w:r>
      <w:r>
        <w:rPr>
          <w:i/>
          <w:iCs/>
        </w:rPr>
        <w:t xml:space="preserve">The black box society: The secret algorithms that control money and information</w:t>
      </w:r>
      <w:r>
        <w:t xml:space="preserve">. Harvard University Press.</w:t>
      </w:r>
    </w:p>
    <w:p>
      <w:pPr>
        <w:pStyle w:val="BodyText"/>
      </w:pPr>
      <w:r>
        <w:t xml:space="preserve">Srnicek, N. (2017). </w:t>
      </w:r>
      <w:r>
        <w:rPr>
          <w:i/>
          <w:iCs/>
        </w:rPr>
        <w:t xml:space="preserve">Platform capitalism</w:t>
      </w:r>
      <w:r>
        <w:t xml:space="preserve">. Polity Press.</w:t>
      </w:r>
    </w:p>
    <w:p>
      <w:pPr>
        <w:pStyle w:val="BodyText"/>
      </w:pPr>
      <w:r>
        <w:t xml:space="preserve">van Dijck, J., Poell, T., &amp; de Waal, M. (2018). </w:t>
      </w:r>
      <w:r>
        <w:rPr>
          <w:i/>
          <w:iCs/>
        </w:rPr>
        <w:t xml:space="preserve">The platform society: Public values in a connective world</w:t>
      </w:r>
      <w:r>
        <w:t xml:space="preserve">. Oxford University Press.</w:t>
      </w:r>
    </w:p>
    <w:bookmarkEnd w:id="104"/>
    <w:bookmarkStart w:id="105" w:name="key-terms-and-definitions"/>
    <w:p>
      <w:pPr>
        <w:pStyle w:val="Heading2"/>
      </w:pPr>
      <w:r>
        <w:t xml:space="preserve">Key Terms and Definitions</w:t>
      </w:r>
    </w:p>
    <w:p>
      <w:pPr>
        <w:pStyle w:val="FirstParagraph"/>
      </w:pPr>
      <w:r>
        <w:rPr>
          <w:b/>
          <w:bCs/>
        </w:rPr>
        <w:t xml:space="preserve">Digital sovereignty:</w:t>
      </w:r>
      <w:r>
        <w:t xml:space="preserve"> The political concept of digital sovereignty, understood as the capacity of a state, organization, or community to exercise control over its digital infrastructure, data, and technologies, is in its regulatory strand a literacy-based form of governance, attained by reading and holding to account what a digital system discloses, whereas its industrial strand works by jurisdiction and ownership.</w:t>
      </w:r>
    </w:p>
    <w:p>
      <w:pPr>
        <w:pStyle w:val="BodyText"/>
      </w:pPr>
      <w:r>
        <w:rPr>
          <w:b/>
          <w:bCs/>
        </w:rPr>
        <w:t xml:space="preserve">Coordinative sovereignty:</w:t>
      </w:r>
      <w:r>
        <w:t xml:space="preserve"> The political concept of coordinative sovereignty, understood as the autonomy proper to a necessary mediation, is the standing to shape the terms on which one is mediated, to contest the mediator’s arbitrary power, and to hold a share in the governance of an arrangement the open tie does not dissolve. Its currency is effective voice. It is borne by whatever actor occupies that relation, individual or organizational. Irreducibility as the coordination is currently wired does not by itself establish necessity.</w:t>
      </w:r>
    </w:p>
    <w:p>
      <w:pPr>
        <w:pStyle w:val="BodyText"/>
      </w:pPr>
      <w:r>
        <w:rPr>
          <w:b/>
          <w:bCs/>
        </w:rPr>
        <w:t xml:space="preserve">Algorithmacy:</w:t>
      </w:r>
      <w:r>
        <w:t xml:space="preserve"> The competence of algorithmacy, understood as the capacity through which an actor coordinates with another party through an algorithmic third party that reads both and commits determinations neither controls, has three parts: inferential (modeling an unseen system), translational (acting in the system’s terms), and temporal (holding a strategy through undisclosed change). What distinguishes it from adjacent literacy constructs is the triadic setting.</w:t>
      </w:r>
    </w:p>
    <w:p>
      <w:pPr>
        <w:pStyle w:val="BodyText"/>
      </w:pPr>
      <w:r>
        <w:rPr>
          <w:b/>
          <w:bCs/>
        </w:rPr>
        <w:t xml:space="preserve">Communicative competence:</w:t>
      </w:r>
      <w:r>
        <w:t xml:space="preserve"> Communicative competence, understood as a capacity for working the medium through which authority is exercised and contested, takes three historical forms — oracy, literacy, and algorithmacy — each paired with a form of sovereignty and each unevenly held before it was common.</w:t>
      </w:r>
    </w:p>
    <w:p>
      <w:pPr>
        <w:pStyle w:val="BodyText"/>
      </w:pPr>
      <w:r>
        <w:rPr>
          <w:b/>
          <w:bCs/>
        </w:rPr>
        <w:t xml:space="preserve">Mediated triad:</w:t>
      </w:r>
      <w:r>
        <w:t xml:space="preserve"> A mediated triad, understood as a coordination in which two parties are bound together through a third party that interprets both and commits outcomes neither controls, is the structural setting of platform enrollment.</w:t>
      </w:r>
    </w:p>
    <w:p>
      <w:pPr>
        <w:pStyle w:val="BodyText"/>
      </w:pPr>
      <w:r>
        <w:rPr>
          <w:b/>
          <w:bCs/>
        </w:rPr>
        <w:t xml:space="preserve">Co-optation:</w:t>
      </w:r>
      <w:r>
        <w:t xml:space="preserve"> Co-optation, understood as the enrollment of an actor into a coordination authored by an interested third party, is in its platform form a narrowing of what Selznick called formal co-optation, which preserved the forms of participation while withholding real power; platform enrollment withholds the forms as well.</w:t>
      </w:r>
    </w:p>
    <w:p>
      <w:pPr>
        <w:pStyle w:val="BodyText"/>
      </w:pPr>
      <w:r>
        <w:rPr>
          <w:b/>
          <w:bCs/>
        </w:rPr>
        <w:t xml:space="preserve">Bypass test:</w:t>
      </w:r>
      <w:r>
        <w:t xml:space="preserve"> The bypass test, understood as the counterfactual that sorts mediators, restores the direct tie between the two parties a mediator stands between, the tie strict mediation forbids, and recomputes whether the mediator still binds. The test operates on a tie, which distinguishes it from tests that ask whether a mediator could be removed or replaced.</w:t>
      </w:r>
    </w:p>
    <w:p>
      <w:pPr>
        <w:pStyle w:val="BodyText"/>
      </w:pPr>
      <w:r>
        <w:rPr>
          <w:b/>
          <w:bCs/>
        </w:rPr>
        <w:t xml:space="preserve">Necessary mediator:</w:t>
      </w:r>
      <w:r>
        <w:t xml:space="preserve"> A necessary mediator, understood as a mediator that remains constitutive of a coordination even when the direct tie is restored, occupies its position by integrating work the direct tie cannot reproduce. It cannot be exited, so the coordinated actor’s remaining power is voice.</w:t>
      </w:r>
    </w:p>
    <w:p>
      <w:pPr>
        <w:pStyle w:val="BodyText"/>
      </w:pPr>
      <w:r>
        <w:rPr>
          <w:b/>
          <w:bCs/>
        </w:rPr>
        <w:t xml:space="preserve">Contingent mediator:</w:t>
      </w:r>
      <w:r>
        <w:t xml:space="preserve"> A contingent mediator, understood as a mediator that ceases to bind when the direct tie is restored, occupies its position by that tie’s absence, usually held in place by an external constraint such as a law or a contract. It can be exited, so the actor’s remaining power includes exit.</w:t>
      </w:r>
    </w:p>
    <w:p>
      <w:pPr>
        <w:pStyle w:val="BodyText"/>
      </w:pPr>
      <w:r>
        <w:rPr>
          <w:b/>
          <w:bCs/>
        </w:rPr>
        <w:t xml:space="preserve">Partial mediator:</w:t>
      </w:r>
      <w:r>
        <w:t xml:space="preserve"> A partial mediator, understood as a mediator that keeps a constitutive role under the open tie while losing part of its integration, combines real integrating work with a bypassable gate. Exit is available against the bypassable part; only voice remains against the integrating one.</w:t>
      </w:r>
    </w:p>
    <w:p>
      <w:pPr>
        <w:pStyle w:val="BodyText"/>
      </w:pPr>
      <w:r>
        <w:rPr>
          <w:b/>
          <w:bCs/>
        </w:rPr>
        <w:t xml:space="preserve">Reducible mediator:</w:t>
      </w:r>
      <w:r>
        <w:t xml:space="preserve"> A reducible mediator, understood as a mediator that was never in the coordination’s core, is one the parties can already work around without lifting any constraint.</w:t>
      </w:r>
    </w:p>
    <w:p>
      <w:pPr>
        <w:pStyle w:val="BodyText"/>
      </w:pPr>
      <w:r>
        <w:rPr>
          <w:b/>
          <w:bCs/>
        </w:rPr>
        <w:t xml:space="preserve">Exit and voice:</w:t>
      </w:r>
      <w:r>
        <w:t xml:space="preserve"> Exit and voice, understood as Hirschman’s two responses to a declining relationship, are leaving it, or staying and pressing for change. Exit is available against a contingent mediator; only voice remains against a necessary one.</w:t>
      </w:r>
    </w:p>
    <w:p>
      <w:pPr>
        <w:pStyle w:val="BodyText"/>
      </w:pPr>
      <w:r>
        <w:rPr>
          <w:b/>
          <w:bCs/>
        </w:rPr>
        <w:t xml:space="preserve">Non-domination:</w:t>
      </w:r>
      <w:r>
        <w:t xml:space="preserve"> The political concept of non-domination, understood as the republican conception of freedom as the absence of another’s arbitrary power, is a stronger condition than the absence of interference. A coordinated actor is dominated to the degree that rules constrain the mediator’s power over it in ways that the actor can contest.</w:t>
      </w:r>
    </w:p>
    <w:p>
      <w:pPr>
        <w:pStyle w:val="BodyText"/>
      </w:pPr>
      <w:r>
        <w:rPr>
          <w:b/>
          <w:bCs/>
        </w:rPr>
        <w:t xml:space="preserve">Irreducibility:</w:t>
      </w:r>
      <w:r>
        <w:t xml:space="preserve"> Irreducibility, understood as the property of a coordination that does not factor into separable parts, describes a coordination as it stands: a triadic coordination binds its parties into a joint determination no division into parts recovers, and that fact does not by itself establish that a mediator is necessary.</w:t>
      </w:r>
    </w:p>
    <w:bookmarkEnd w:id="105"/>
    <w:bookmarkEnd w:id="106"/>
    <w:sectPr>
      <w:headerReference xmlns:r="http://schemas.openxmlformats.org/officeDocument/2006/relationships" r:id="rIdHeaderPage" w:type="default"/>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rPr>
    </w:rPrDefault>
    <w:pPrDefault>
      <w:pPr>
        <w:spacing w:after="0" w:before="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pPr>
      <w:keepNext/>
      <w:spacing w:after="0" w:before="240" w:line="480" w:lineRule="auto"/>
      <w:jc w:val="center"/>
    </w:pPr>
    <w:rPr>
      <w:rFonts w:ascii="Times New Roman" w:hAnsi="Times New Roman"/>
      <w:b/>
      <w:sz w:val="24"/>
      <w:szCs w:val="24"/>
    </w:rPr>
  </w:style>
  <w:style w:styleId="Heading2" w:type="paragraph">
    <w:name w:val="heading 2"/>
    <w:basedOn w:val="Normal"/>
    <w:pPr>
      <w:keepNext/>
      <w:spacing w:after="0" w:before="240" w:line="480" w:lineRule="auto"/>
    </w:pPr>
    <w:rPr>
      <w:rFonts w:ascii="Times New Roman" w:hAnsi="Times New Roman"/>
      <w:b/>
      <w:sz w:val="24"/>
      <w:szCs w:val="24"/>
    </w:rPr>
  </w:style>
  <w:style w:styleId="Heading3" w:type="paragraph">
    <w:name w:val="heading 3"/>
    <w:basedOn w:val="Normal"/>
    <w:pPr>
      <w:keepNext/>
      <w:spacing w:after="0" w:before="240" w:line="480" w:lineRule="auto"/>
    </w:pPr>
    <w:rPr>
      <w:rFonts w:ascii="Times New Roman" w:hAnsi="Times New Roman"/>
      <w:b/>
      <w:i/>
      <w:sz w:val="24"/>
      <w:szCs w:val="24"/>
    </w:rPr>
  </w:style>
  <w:style w:styleId="Heading4" w:type="paragraph">
    <w:name w:val="heading 4"/>
    <w:basedOn w:val="Normal"/>
    <w:pPr>
      <w:keepNext/>
      <w:spacing w:after="0" w:before="240" w:line="480" w:lineRule="auto"/>
    </w:pPr>
    <w:rPr>
      <w:rFonts w:ascii="Times New Roman" w:hAnsi="Times New Roman"/>
      <w:b/>
      <w:i/>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1.xml" Type="http://schemas.openxmlformats.org/officeDocument/2006/relationships/header" /><Relationship Type="http://schemas.openxmlformats.org/officeDocument/2006/relationships/hyperlink" Id="rId24" Target="http://Booking.com" TargetMode="External" /><Relationship Type="http://schemas.openxmlformats.org/officeDocument/2006/relationships/hyperlink" Id="rId55" Target="http://data.europa.eu/eli/dir/2024/2831/oj" TargetMode="External" /><Relationship Type="http://schemas.openxmlformats.org/officeDocument/2006/relationships/hyperlink" Id="rId87" Target="https://doi.org/10.1002/hrm.70019" TargetMode="External" /><Relationship Type="http://schemas.openxmlformats.org/officeDocument/2006/relationships/hyperlink" Id="rId85" Target="https://doi.org/10.1002/poi3.70011" TargetMode="External" /><Relationship Type="http://schemas.openxmlformats.org/officeDocument/2006/relationships/hyperlink" Id="rId40" Target="https://doi.org/10.1002/poi3.70018" TargetMode="External" /><Relationship Type="http://schemas.openxmlformats.org/officeDocument/2006/relationships/hyperlink" Id="rId78" Target="https://doi.org/10.1002/smj.580" TargetMode="External" /><Relationship Type="http://schemas.openxmlformats.org/officeDocument/2006/relationships/hyperlink" Id="rId65" Target="https://doi.org/10.1007/978-3-030-15742-5_55" TargetMode="External" /><Relationship Type="http://schemas.openxmlformats.org/officeDocument/2006/relationships/hyperlink" Id="rId92" Target="https://doi.org/10.1007/978-3-031-69994-8" TargetMode="External" /><Relationship Type="http://schemas.openxmlformats.org/officeDocument/2006/relationships/hyperlink" Id="rId33" Target="https://doi.org/10.1007/s11023-022-09611-z" TargetMode="External" /><Relationship Type="http://schemas.openxmlformats.org/officeDocument/2006/relationships/hyperlink" Id="rId56" Target="https://doi.org/10.1007/s13347-020-00423-6" TargetMode="External" /><Relationship Type="http://schemas.openxmlformats.org/officeDocument/2006/relationships/hyperlink" Id="rId58" Target="https://doi.org/10.1007/s44206-024-00146-7" TargetMode="External" /><Relationship Type="http://schemas.openxmlformats.org/officeDocument/2006/relationships/hyperlink" Id="rId75" Target="https://doi.org/10.1017/dap.2024.1" TargetMode="External" /><Relationship Type="http://schemas.openxmlformats.org/officeDocument/2006/relationships/hyperlink" Id="rId60" Target="https://doi.org/10.1080/1369118X.2022.2147400" TargetMode="External" /><Relationship Type="http://schemas.openxmlformats.org/officeDocument/2006/relationships/hyperlink" Id="rId73" Target="https://doi.org/10.1080/14649880600815974" TargetMode="External" /><Relationship Type="http://schemas.openxmlformats.org/officeDocument/2006/relationships/hyperlink" Id="rId52" Target="https://doi.org/10.1080/19312458.2021.1968361" TargetMode="External" /><Relationship Type="http://schemas.openxmlformats.org/officeDocument/2006/relationships/hyperlink" Id="rId57" Target="https://doi.org/10.1080/23299460.2024.2414512" TargetMode="External" /><Relationship Type="http://schemas.openxmlformats.org/officeDocument/2006/relationships/hyperlink" Id="rId44" Target="https://doi.org/10.1086/421787" TargetMode="External" /><Relationship Type="http://schemas.openxmlformats.org/officeDocument/2006/relationships/hyperlink" Id="rId37" Target="https://doi.org/10.1093/icc/dtm036" TargetMode="External" /><Relationship Type="http://schemas.openxmlformats.org/officeDocument/2006/relationships/hyperlink" Id="rId50" Target="https://doi.org/10.1093/idpl/ipz014" TargetMode="External" /><Relationship Type="http://schemas.openxmlformats.org/officeDocument/2006/relationships/hyperlink" Id="rId79" Target="https://doi.org/10.1093/oso/9780197582794.003.0002" TargetMode="External" /><Relationship Type="http://schemas.openxmlformats.org/officeDocument/2006/relationships/hyperlink" Id="rId39" Target="https://doi.org/10.1108/IJCHM-07-2014-0326" TargetMode="External" /><Relationship Type="http://schemas.openxmlformats.org/officeDocument/2006/relationships/hyperlink" Id="rId49" Target="https://doi.org/10.1111/1748-8583.12587" TargetMode="External" /><Relationship Type="http://schemas.openxmlformats.org/officeDocument/2006/relationships/hyperlink" Id="rId36" Target="https://doi.org/10.1111/j.1756-2171.2006.tb00037.x" TargetMode="External" /><Relationship Type="http://schemas.openxmlformats.org/officeDocument/2006/relationships/hyperlink" Id="rId53" Target="https://doi.org/10.1145/2858036.2858494" TargetMode="External" /><Relationship Type="http://schemas.openxmlformats.org/officeDocument/2006/relationships/hyperlink" Id="rId51" Target="https://doi.org/10.1145/3476080" TargetMode="External" /><Relationship Type="http://schemas.openxmlformats.org/officeDocument/2006/relationships/hyperlink" Id="rId100" Target="https://doi.org/10.1146/annurev-soc-121919-054857" TargetMode="External" /><Relationship Type="http://schemas.openxmlformats.org/officeDocument/2006/relationships/hyperlink" Id="rId88" Target="https://doi.org/10.1162/154247603322493212" TargetMode="External" /><Relationship Type="http://schemas.openxmlformats.org/officeDocument/2006/relationships/hyperlink" Id="rId47" Target="https://doi.org/10.1177/0001839219867024" TargetMode="External" /><Relationship Type="http://schemas.openxmlformats.org/officeDocument/2006/relationships/hyperlink" Id="rId83" Target="https://doi.org/10.1177/00018392211010118" TargetMode="External" /><Relationship Type="http://schemas.openxmlformats.org/officeDocument/2006/relationships/hyperlink" Id="rId67" Target="https://doi.org/10.1177/0003122420979980" TargetMode="External" /><Relationship Type="http://schemas.openxmlformats.org/officeDocument/2006/relationships/hyperlink" Id="rId69" Target="https://doi.org/10.1177/0090591707310084" TargetMode="External" /><Relationship Type="http://schemas.openxmlformats.org/officeDocument/2006/relationships/hyperlink" Id="rId101" Target="https://doi.org/10.1177/0950017018785616" TargetMode="External" /><Relationship Type="http://schemas.openxmlformats.org/officeDocument/2006/relationships/hyperlink" Id="rId98" Target="https://doi.org/10.1177/0950017019886511" TargetMode="External" /><Relationship Type="http://schemas.openxmlformats.org/officeDocument/2006/relationships/hyperlink" Id="rId42" Target="https://doi.org/10.1177/1350508420961531" TargetMode="External" /><Relationship Type="http://schemas.openxmlformats.org/officeDocument/2006/relationships/hyperlink" Id="rId34" Target="https://doi.org/10.1177/1461444816676645" TargetMode="External" /><Relationship Type="http://schemas.openxmlformats.org/officeDocument/2006/relationships/hyperlink" Id="rId77" Target="https://doi.org/10.1177/1461444818799523" TargetMode="External" /><Relationship Type="http://schemas.openxmlformats.org/officeDocument/2006/relationships/hyperlink" Id="rId46" Target="https://doi.org/10.1177/1461444819865984" TargetMode="External" /><Relationship Type="http://schemas.openxmlformats.org/officeDocument/2006/relationships/hyperlink" Id="rId68" Target="https://doi.org/10.1177/14614448211021404" TargetMode="External" /><Relationship Type="http://schemas.openxmlformats.org/officeDocument/2006/relationships/hyperlink" Id="rId38" Target="https://doi.org/10.1177/14614448221077284" TargetMode="External" /><Relationship Type="http://schemas.openxmlformats.org/officeDocument/2006/relationships/hyperlink" Id="rId59" Target="https://doi.org/10.1177/14614448241291137" TargetMode="External" /><Relationship Type="http://schemas.openxmlformats.org/officeDocument/2006/relationships/hyperlink" Id="rId45" Target="https://doi.org/10.1177/1474885119851094" TargetMode="External" /><Relationship Type="http://schemas.openxmlformats.org/officeDocument/2006/relationships/hyperlink" Id="rId72" Target="https://doi.org/10.1177/14748851221082078" TargetMode="External" /><Relationship Type="http://schemas.openxmlformats.org/officeDocument/2006/relationships/hyperlink" Id="rId62" Target="https://doi.org/10.1177/1476127015624274" TargetMode="External" /><Relationship Type="http://schemas.openxmlformats.org/officeDocument/2006/relationships/hyperlink" Id="rId43" Target="https://doi.org/10.1177/2053951715622512" TargetMode="External" /><Relationship Type="http://schemas.openxmlformats.org/officeDocument/2006/relationships/hyperlink" Id="rId70" Target="https://doi.org/10.1177/2053951720948087" TargetMode="External" /><Relationship Type="http://schemas.openxmlformats.org/officeDocument/2006/relationships/hyperlink" Id="rId64" Target="https://doi.org/10.1177/2053951720982012" TargetMode="External" /><Relationship Type="http://schemas.openxmlformats.org/officeDocument/2006/relationships/hyperlink" Id="rId80" Target="https://doi.org/10.1177/2056305119879995" TargetMode="External" /><Relationship Type="http://schemas.openxmlformats.org/officeDocument/2006/relationships/hyperlink" Id="rId41" Target="https://doi.org/10.1177/2056305119897323" TargetMode="External" /><Relationship Type="http://schemas.openxmlformats.org/officeDocument/2006/relationships/hyperlink" Id="rId97" Target="https://doi.org/10.1177/26317877241257213" TargetMode="External" /><Relationship Type="http://schemas.openxmlformats.org/officeDocument/2006/relationships/hyperlink" Id="rId89" Target="https://doi.org/10.1287/mnsc.1060.0675" TargetMode="External" /><Relationship Type="http://schemas.openxmlformats.org/officeDocument/2006/relationships/hyperlink" Id="rId61" Target="https://doi.org/10.1287/mnsc.2020.3583" TargetMode="External" /><Relationship Type="http://schemas.openxmlformats.org/officeDocument/2006/relationships/hyperlink" Id="rId93" Target="https://doi.org/10.1287/opre.2025.2046" TargetMode="External" /><Relationship Type="http://schemas.openxmlformats.org/officeDocument/2006/relationships/hyperlink" Id="rId32" Target="https://doi.org/10.1287/orsc.12.2.215.10117" TargetMode="External" /><Relationship Type="http://schemas.openxmlformats.org/officeDocument/2006/relationships/hyperlink" Id="rId90" Target="https://doi.org/10.14763/2020.2.1479" TargetMode="External" /><Relationship Type="http://schemas.openxmlformats.org/officeDocument/2006/relationships/hyperlink" Id="rId82" Target="https://doi.org/10.14763/2020.4.1532" TargetMode="External" /><Relationship Type="http://schemas.openxmlformats.org/officeDocument/2006/relationships/hyperlink" Id="rId86" Target="https://doi.org/10.14763/2021.3.1575" TargetMode="External" /><Relationship Type="http://schemas.openxmlformats.org/officeDocument/2006/relationships/hyperlink" Id="rId99" Target="https://doi.org/10.14763/2026.1.2063" TargetMode="External" /><Relationship Type="http://schemas.openxmlformats.org/officeDocument/2006/relationships/hyperlink" Id="rId76" Target="https://doi.org/10.1515/9780691261775" TargetMode="External" /><Relationship Type="http://schemas.openxmlformats.org/officeDocument/2006/relationships/hyperlink" Id="rId35" Target="https://doi.org/10.1515/9781400887781" TargetMode="External" /><Relationship Type="http://schemas.openxmlformats.org/officeDocument/2006/relationships/hyperlink" Id="rId71" Target="https://doi.org/10.17705/1jais.00774" TargetMode="External" /><Relationship Type="http://schemas.openxmlformats.org/officeDocument/2006/relationships/hyperlink" Id="rId81" Target="https://doi.org/10.21248/gjn.9.1.101" TargetMode="External" /><Relationship Type="http://schemas.openxmlformats.org/officeDocument/2006/relationships/hyperlink" Id="rId74" Target="https://doi.org/10.2189/asqu.2005.50.1.100" TargetMode="External" /><Relationship Type="http://schemas.openxmlformats.org/officeDocument/2006/relationships/hyperlink" Id="rId91" Target="https://doi.org/10.2307/3146375" TargetMode="External" /><Relationship Type="http://schemas.openxmlformats.org/officeDocument/2006/relationships/hyperlink" Id="rId63" Target="https://doi.org/10.4337/9781849808774" TargetMode="External" /><Relationship Type="http://schemas.openxmlformats.org/officeDocument/2006/relationships/hyperlink" Id="rId95" Target="https://doi.org/10.5210/fm.v26i5.11693" TargetMode="External" /><Relationship Type="http://schemas.openxmlformats.org/officeDocument/2006/relationships/hyperlink" Id="rId94" Target="https://doi.org/10.5465/256865" TargetMode="External" /><Relationship Type="http://schemas.openxmlformats.org/officeDocument/2006/relationships/hyperlink" Id="rId48" Target="https://doi.org/10.5465/amp.2019.0103" TargetMode="External" /><Relationship Type="http://schemas.openxmlformats.org/officeDocument/2006/relationships/hyperlink" Id="rId66" Target="https://doi.org/10.5465/annals.2018.0174" TargetMode="External" /><Relationship Type="http://schemas.openxmlformats.org/officeDocument/2006/relationships/hyperlink" Id="rId84" Target="https://doi.org/10.5465/annals.2022.0090" TargetMode="External" /><Relationship Type="http://schemas.openxmlformats.org/officeDocument/2006/relationships/hyperlink" Id="rId96" Target="https://doi.org/10.6092/issn.1971-8853/12221" TargetMode="External" /><Relationship Type="http://schemas.openxmlformats.org/officeDocument/2006/relationships/hyperlink" Id="rId54" Target="https://eur-lex.europa.eu/legal-content/EN/TXT/?uri=CELEX:52025PC0837" TargetMode="External" /></Relationships>
</file>

<file path=word/_rels/footnotes.xml.rels><?xml version="1.0" encoding="UTF-8"?><Relationships xmlns="http://schemas.openxmlformats.org/package/2006/relationships"><Relationship Type="http://schemas.openxmlformats.org/officeDocument/2006/relationships/hyperlink" Id="rId24" Target="http://Booking.com" TargetMode="External" /><Relationship Type="http://schemas.openxmlformats.org/officeDocument/2006/relationships/hyperlink" Id="rId55" Target="http://data.europa.eu/eli/dir/2024/2831/oj" TargetMode="External" /><Relationship Type="http://schemas.openxmlformats.org/officeDocument/2006/relationships/hyperlink" Id="rId87" Target="https://doi.org/10.1002/hrm.70019" TargetMode="External" /><Relationship Type="http://schemas.openxmlformats.org/officeDocument/2006/relationships/hyperlink" Id="rId85" Target="https://doi.org/10.1002/poi3.70011" TargetMode="External" /><Relationship Type="http://schemas.openxmlformats.org/officeDocument/2006/relationships/hyperlink" Id="rId40" Target="https://doi.org/10.1002/poi3.70018" TargetMode="External" /><Relationship Type="http://schemas.openxmlformats.org/officeDocument/2006/relationships/hyperlink" Id="rId78" Target="https://doi.org/10.1002/smj.580" TargetMode="External" /><Relationship Type="http://schemas.openxmlformats.org/officeDocument/2006/relationships/hyperlink" Id="rId65" Target="https://doi.org/10.1007/978-3-030-15742-5_55" TargetMode="External" /><Relationship Type="http://schemas.openxmlformats.org/officeDocument/2006/relationships/hyperlink" Id="rId92" Target="https://doi.org/10.1007/978-3-031-69994-8" TargetMode="External" /><Relationship Type="http://schemas.openxmlformats.org/officeDocument/2006/relationships/hyperlink" Id="rId33" Target="https://doi.org/10.1007/s11023-022-09611-z" TargetMode="External" /><Relationship Type="http://schemas.openxmlformats.org/officeDocument/2006/relationships/hyperlink" Id="rId56" Target="https://doi.org/10.1007/s13347-020-00423-6" TargetMode="External" /><Relationship Type="http://schemas.openxmlformats.org/officeDocument/2006/relationships/hyperlink" Id="rId58" Target="https://doi.org/10.1007/s44206-024-00146-7" TargetMode="External" /><Relationship Type="http://schemas.openxmlformats.org/officeDocument/2006/relationships/hyperlink" Id="rId75" Target="https://doi.org/10.1017/dap.2024.1" TargetMode="External" /><Relationship Type="http://schemas.openxmlformats.org/officeDocument/2006/relationships/hyperlink" Id="rId60" Target="https://doi.org/10.1080/1369118X.2022.2147400" TargetMode="External" /><Relationship Type="http://schemas.openxmlformats.org/officeDocument/2006/relationships/hyperlink" Id="rId73" Target="https://doi.org/10.1080/14649880600815974" TargetMode="External" /><Relationship Type="http://schemas.openxmlformats.org/officeDocument/2006/relationships/hyperlink" Id="rId52" Target="https://doi.org/10.1080/19312458.2021.1968361" TargetMode="External" /><Relationship Type="http://schemas.openxmlformats.org/officeDocument/2006/relationships/hyperlink" Id="rId57" Target="https://doi.org/10.1080/23299460.2024.2414512" TargetMode="External" /><Relationship Type="http://schemas.openxmlformats.org/officeDocument/2006/relationships/hyperlink" Id="rId44" Target="https://doi.org/10.1086/421787" TargetMode="External" /><Relationship Type="http://schemas.openxmlformats.org/officeDocument/2006/relationships/hyperlink" Id="rId37" Target="https://doi.org/10.1093/icc/dtm036" TargetMode="External" /><Relationship Type="http://schemas.openxmlformats.org/officeDocument/2006/relationships/hyperlink" Id="rId50" Target="https://doi.org/10.1093/idpl/ipz014" TargetMode="External" /><Relationship Type="http://schemas.openxmlformats.org/officeDocument/2006/relationships/hyperlink" Id="rId79" Target="https://doi.org/10.1093/oso/9780197582794.003.0002" TargetMode="External" /><Relationship Type="http://schemas.openxmlformats.org/officeDocument/2006/relationships/hyperlink" Id="rId39" Target="https://doi.org/10.1108/IJCHM-07-2014-0326" TargetMode="External" /><Relationship Type="http://schemas.openxmlformats.org/officeDocument/2006/relationships/hyperlink" Id="rId49" Target="https://doi.org/10.1111/1748-8583.12587" TargetMode="External" /><Relationship Type="http://schemas.openxmlformats.org/officeDocument/2006/relationships/hyperlink" Id="rId36" Target="https://doi.org/10.1111/j.1756-2171.2006.tb00037.x" TargetMode="External" /><Relationship Type="http://schemas.openxmlformats.org/officeDocument/2006/relationships/hyperlink" Id="rId53" Target="https://doi.org/10.1145/2858036.2858494" TargetMode="External" /><Relationship Type="http://schemas.openxmlformats.org/officeDocument/2006/relationships/hyperlink" Id="rId51" Target="https://doi.org/10.1145/3476080" TargetMode="External" /><Relationship Type="http://schemas.openxmlformats.org/officeDocument/2006/relationships/hyperlink" Id="rId100" Target="https://doi.org/10.1146/annurev-soc-121919-054857" TargetMode="External" /><Relationship Type="http://schemas.openxmlformats.org/officeDocument/2006/relationships/hyperlink" Id="rId88" Target="https://doi.org/10.1162/154247603322493212" TargetMode="External" /><Relationship Type="http://schemas.openxmlformats.org/officeDocument/2006/relationships/hyperlink" Id="rId47" Target="https://doi.org/10.1177/0001839219867024" TargetMode="External" /><Relationship Type="http://schemas.openxmlformats.org/officeDocument/2006/relationships/hyperlink" Id="rId83" Target="https://doi.org/10.1177/00018392211010118" TargetMode="External" /><Relationship Type="http://schemas.openxmlformats.org/officeDocument/2006/relationships/hyperlink" Id="rId67" Target="https://doi.org/10.1177/0003122420979980" TargetMode="External" /><Relationship Type="http://schemas.openxmlformats.org/officeDocument/2006/relationships/hyperlink" Id="rId69" Target="https://doi.org/10.1177/0090591707310084" TargetMode="External" /><Relationship Type="http://schemas.openxmlformats.org/officeDocument/2006/relationships/hyperlink" Id="rId101" Target="https://doi.org/10.1177/0950017018785616" TargetMode="External" /><Relationship Type="http://schemas.openxmlformats.org/officeDocument/2006/relationships/hyperlink" Id="rId98" Target="https://doi.org/10.1177/0950017019886511" TargetMode="External" /><Relationship Type="http://schemas.openxmlformats.org/officeDocument/2006/relationships/hyperlink" Id="rId42" Target="https://doi.org/10.1177/1350508420961531" TargetMode="External" /><Relationship Type="http://schemas.openxmlformats.org/officeDocument/2006/relationships/hyperlink" Id="rId34" Target="https://doi.org/10.1177/1461444816676645" TargetMode="External" /><Relationship Type="http://schemas.openxmlformats.org/officeDocument/2006/relationships/hyperlink" Id="rId77" Target="https://doi.org/10.1177/1461444818799523" TargetMode="External" /><Relationship Type="http://schemas.openxmlformats.org/officeDocument/2006/relationships/hyperlink" Id="rId46" Target="https://doi.org/10.1177/1461444819865984" TargetMode="External" /><Relationship Type="http://schemas.openxmlformats.org/officeDocument/2006/relationships/hyperlink" Id="rId68" Target="https://doi.org/10.1177/14614448211021404" TargetMode="External" /><Relationship Type="http://schemas.openxmlformats.org/officeDocument/2006/relationships/hyperlink" Id="rId38" Target="https://doi.org/10.1177/14614448221077284" TargetMode="External" /><Relationship Type="http://schemas.openxmlformats.org/officeDocument/2006/relationships/hyperlink" Id="rId59" Target="https://doi.org/10.1177/14614448241291137" TargetMode="External" /><Relationship Type="http://schemas.openxmlformats.org/officeDocument/2006/relationships/hyperlink" Id="rId45" Target="https://doi.org/10.1177/1474885119851094" TargetMode="External" /><Relationship Type="http://schemas.openxmlformats.org/officeDocument/2006/relationships/hyperlink" Id="rId72" Target="https://doi.org/10.1177/14748851221082078" TargetMode="External" /><Relationship Type="http://schemas.openxmlformats.org/officeDocument/2006/relationships/hyperlink" Id="rId62" Target="https://doi.org/10.1177/1476127015624274" TargetMode="External" /><Relationship Type="http://schemas.openxmlformats.org/officeDocument/2006/relationships/hyperlink" Id="rId43" Target="https://doi.org/10.1177/2053951715622512" TargetMode="External" /><Relationship Type="http://schemas.openxmlformats.org/officeDocument/2006/relationships/hyperlink" Id="rId70" Target="https://doi.org/10.1177/2053951720948087" TargetMode="External" /><Relationship Type="http://schemas.openxmlformats.org/officeDocument/2006/relationships/hyperlink" Id="rId64" Target="https://doi.org/10.1177/2053951720982012" TargetMode="External" /><Relationship Type="http://schemas.openxmlformats.org/officeDocument/2006/relationships/hyperlink" Id="rId80" Target="https://doi.org/10.1177/2056305119879995" TargetMode="External" /><Relationship Type="http://schemas.openxmlformats.org/officeDocument/2006/relationships/hyperlink" Id="rId41" Target="https://doi.org/10.1177/2056305119897323" TargetMode="External" /><Relationship Type="http://schemas.openxmlformats.org/officeDocument/2006/relationships/hyperlink" Id="rId97" Target="https://doi.org/10.1177/26317877241257213" TargetMode="External" /><Relationship Type="http://schemas.openxmlformats.org/officeDocument/2006/relationships/hyperlink" Id="rId89" Target="https://doi.org/10.1287/mnsc.1060.0675" TargetMode="External" /><Relationship Type="http://schemas.openxmlformats.org/officeDocument/2006/relationships/hyperlink" Id="rId61" Target="https://doi.org/10.1287/mnsc.2020.3583" TargetMode="External" /><Relationship Type="http://schemas.openxmlformats.org/officeDocument/2006/relationships/hyperlink" Id="rId93" Target="https://doi.org/10.1287/opre.2025.2046" TargetMode="External" /><Relationship Type="http://schemas.openxmlformats.org/officeDocument/2006/relationships/hyperlink" Id="rId32" Target="https://doi.org/10.1287/orsc.12.2.215.10117" TargetMode="External" /><Relationship Type="http://schemas.openxmlformats.org/officeDocument/2006/relationships/hyperlink" Id="rId90" Target="https://doi.org/10.14763/2020.2.1479" TargetMode="External" /><Relationship Type="http://schemas.openxmlformats.org/officeDocument/2006/relationships/hyperlink" Id="rId82" Target="https://doi.org/10.14763/2020.4.1532" TargetMode="External" /><Relationship Type="http://schemas.openxmlformats.org/officeDocument/2006/relationships/hyperlink" Id="rId86" Target="https://doi.org/10.14763/2021.3.1575" TargetMode="External" /><Relationship Type="http://schemas.openxmlformats.org/officeDocument/2006/relationships/hyperlink" Id="rId99" Target="https://doi.org/10.14763/2026.1.2063" TargetMode="External" /><Relationship Type="http://schemas.openxmlformats.org/officeDocument/2006/relationships/hyperlink" Id="rId76" Target="https://doi.org/10.1515/9780691261775" TargetMode="External" /><Relationship Type="http://schemas.openxmlformats.org/officeDocument/2006/relationships/hyperlink" Id="rId35" Target="https://doi.org/10.1515/9781400887781" TargetMode="External" /><Relationship Type="http://schemas.openxmlformats.org/officeDocument/2006/relationships/hyperlink" Id="rId71" Target="https://doi.org/10.17705/1jais.00774" TargetMode="External" /><Relationship Type="http://schemas.openxmlformats.org/officeDocument/2006/relationships/hyperlink" Id="rId81" Target="https://doi.org/10.21248/gjn.9.1.101" TargetMode="External" /><Relationship Type="http://schemas.openxmlformats.org/officeDocument/2006/relationships/hyperlink" Id="rId74" Target="https://doi.org/10.2189/asqu.2005.50.1.100" TargetMode="External" /><Relationship Type="http://schemas.openxmlformats.org/officeDocument/2006/relationships/hyperlink" Id="rId91" Target="https://doi.org/10.2307/3146375" TargetMode="External" /><Relationship Type="http://schemas.openxmlformats.org/officeDocument/2006/relationships/hyperlink" Id="rId63" Target="https://doi.org/10.4337/9781849808774" TargetMode="External" /><Relationship Type="http://schemas.openxmlformats.org/officeDocument/2006/relationships/hyperlink" Id="rId95" Target="https://doi.org/10.5210/fm.v26i5.11693" TargetMode="External" /><Relationship Type="http://schemas.openxmlformats.org/officeDocument/2006/relationships/hyperlink" Id="rId94" Target="https://doi.org/10.5465/256865" TargetMode="External" /><Relationship Type="http://schemas.openxmlformats.org/officeDocument/2006/relationships/hyperlink" Id="rId48" Target="https://doi.org/10.5465/amp.2019.0103" TargetMode="External" /><Relationship Type="http://schemas.openxmlformats.org/officeDocument/2006/relationships/hyperlink" Id="rId66" Target="https://doi.org/10.5465/annals.2018.0174" TargetMode="External" /><Relationship Type="http://schemas.openxmlformats.org/officeDocument/2006/relationships/hyperlink" Id="rId84" Target="https://doi.org/10.5465/annals.2022.0090" TargetMode="External" /><Relationship Type="http://schemas.openxmlformats.org/officeDocument/2006/relationships/hyperlink" Id="rId96" Target="https://doi.org/10.6092/issn.1971-8853/12221" TargetMode="External" /><Relationship Type="http://schemas.openxmlformats.org/officeDocument/2006/relationships/hyperlink" Id="rId54" Target="https://eur-lex.europa.eu/legal-content/EN/TXT/?uri=CELEX:52025PC08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2026-08-18T14:06:53Z</dcterms:created>
  <dcterms:modified xsi:type="dcterms:W3CDTF">2026-08-18T14:06:53Z</dcterms:modified>
</cp:coreProperties>
</file>

<file path=docProps/custom.xml><?xml version="1.0" encoding="utf-8"?>
<Properties xmlns="http://schemas.openxmlformats.org/officeDocument/2006/custom-properties" xmlns:vt="http://schemas.openxmlformats.org/officeDocument/2006/docPropsVTypes"/>
</file>