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b0aae067f3fdcb7dae2cf80b9cbda23cad579f"/>
    <w:p>
      <w:pPr>
        <w:pStyle w:val="Heading1"/>
      </w:pPr>
      <w:r>
        <w:t xml:space="preserve">The Third Nobody Chose:</w:t>
      </w:r>
      <w:r>
        <w:t xml:space="preserve"> </w:t>
      </w:r>
      <w:r>
        <w:rPr>
          <w:i/>
          <w:iCs/>
        </w:rPr>
        <w:t xml:space="preserve">Slacker</w:t>
      </w:r>
      <w:r>
        <w:t xml:space="preserve">, and a City That Coordinated Without Employing</w:t>
      </w:r>
    </w:p>
    <w:bookmarkStart w:id="9" w:name="roger-hunt-bentley-university"/>
    <w:p>
      <w:pPr>
        <w:pStyle w:val="Heading4"/>
      </w:pPr>
      <w:r>
        <w:t xml:space="preserve">Roger Hunt, Bentley University</w:t>
      </w:r>
    </w:p>
    <w:bookmarkEnd w:id="9"/>
    <w:bookmarkStart w:id="14" w:name="the-third-nobody-chose"/>
    <w:p>
      <w:pPr>
        <w:pStyle w:val="Heading2"/>
      </w:pPr>
      <w:r>
        <w:t xml:space="preserve">1. The third nobody chose</w:t>
      </w:r>
    </w:p>
    <w:p>
      <w:pPr>
        <w:pStyle w:val="FirstParagraph"/>
      </w:pPr>
      <w:r>
        <w:rPr>
          <w:i/>
          <w:iCs/>
        </w:rPr>
        <w:t xml:space="preserve">Slacker</w:t>
      </w:r>
      <w:r>
        <w:t xml:space="preserve"> </w:t>
      </w:r>
      <w:r>
        <w:t xml:space="preserve">follows about a hundred people through one day in Austin. None of them has a continuous story. They talk, leave the frame, and do not return. Most of them never meet one another. The standard explanation of how the film still coheres is that the camera joins scenes the characters do not join, and that explanation never says what kind of coordinator a camera is.</w:t>
      </w:r>
    </w:p>
    <w:p>
      <w:pPr>
        <w:pStyle w:val="BodyText"/>
      </w:pPr>
      <w:r>
        <w:t xml:space="preserve">The platform is older than the digital platforms that now carry the name. A platform, in the sense used here, is a third that holds parties within reach of one another and arranges none of their meetings: people are joined by a common relation to something outside them, not by a broker who knows both sides of a particular pair. Digital platforms optimize that form. They are not its foundation. To read</w:t>
      </w:r>
      <w:r>
        <w:t xml:space="preserve"> </w:t>
      </w:r>
      <w:r>
        <w:rPr>
          <w:i/>
          <w:iCs/>
        </w:rPr>
        <w:t xml:space="preserve">Slacker</w:t>
      </w:r>
      <w:r>
        <w:t xml:space="preserve"> </w:t>
      </w:r>
      <w:r>
        <w:t xml:space="preserve">as an exploration of that form — rather than as a day of quirky Austin talk — the argument needs three predicates already available by 1990. It needs a name for the coordinator that joins people by a common outside relation and arranges none of their meetings: Simmel named that figure and deferred analyzing it. It needs an account of belonging that does not require members to meet: Royce wrote that account from the members’ side. It needs an account of how access becomes a grant whose reasons can be withheld: Reich wrote that change into law. Those predicates describe the form. They do not yet name its coordinating verb; that arrives last in the literature this chapter draws on, with Stark and Pais.</w:t>
      </w:r>
      <w:r>
        <w:rPr>
          <w:rStyle w:val="FootnoteReference"/>
        </w:rPr>
        <w:footnoteReference w:id="10"/>
      </w:r>
      <w:r>
        <w:t xml:space="preserve"> </w:t>
      </w:r>
      <w:r>
        <w:rPr>
          <w:i/>
          <w:iCs/>
        </w:rPr>
        <w:t xml:space="preserve">Slacker</w:t>
      </w:r>
      <w:r>
        <w:t xml:space="preserve"> </w:t>
      </w:r>
      <w:r>
        <w:t xml:space="preserve">— whether or not the film knows what it is doing — explores that platform as it had developed by 1990 in a city, among people who rarely meet, and through a camera that sequences strangers the way a later feed will. Read beside later platforms, the film shows significant parallels that no one making it could have known they were recording. Vestiges remain visible in contemporary platforms: a scroll of loosely connected content, guided by an apparatus that selects the next encounter without saying why. I call the competence that space demands algorithmacy: fluency in coordinating through a third that interprets both sides and issues determinations neither side controls. Linklater stages its early emergence — still partial, still often carried by the camera when the people on screen do not yet hold it.</w:t>
      </w:r>
    </w:p>
    <w:p>
      <w:pPr>
        <w:pStyle w:val="BodyText"/>
      </w:pPr>
      <w:r>
        <w:t xml:space="preserve">The first predicate is structural. Without it the camera’s joins look like style rather than coordination. Simmel’s account of the triad gives three familiar thirds that will not do that job. The non-partisan and the mediator repair a relation between two identified parties. The</w:t>
      </w:r>
      <w:r>
        <w:t xml:space="preserve"> </w:t>
      </w:r>
      <w:r>
        <w:rPr>
          <w:i/>
          <w:iCs/>
        </w:rPr>
        <w:t xml:space="preserve">tertius gaudens</w:t>
      </w:r>
      <w:r>
        <w:t xml:space="preserve"> </w:t>
      </w:r>
      <w:r>
        <w:t xml:space="preserve">profits from standing between them.</w:t>
      </w:r>
      <w:r>
        <w:t xml:space="preserve"> </w:t>
      </w:r>
      <w:r>
        <w:rPr>
          <w:i/>
          <w:iCs/>
        </w:rPr>
        <w:t xml:space="preserve">Divide et impera</w:t>
      </w:r>
      <w:r>
        <w:t xml:space="preserve"> </w:t>
      </w:r>
      <w:r>
        <w:t xml:space="preserve">sets them against each other in order to rule both.</w:t>
      </w:r>
      <w:r>
        <w:rPr>
          <w:rStyle w:val="FootnoteReference"/>
        </w:rPr>
        <w:footnoteReference w:id="11"/>
      </w:r>
      <w:r>
        <w:t xml:space="preserve"> </w:t>
      </w:r>
      <w:r>
        <w:t xml:space="preserve">In each case the third acts on a known pair. On the opening page of the same chapter Simmel names a different figure: people drawn together</w:t>
      </w:r>
      <w:r>
        <w:t xml:space="preserve"> </w:t>
      </w:r>
      <w:r>
        <w:t xml:space="preserve">“by their common relation to a phenomenon which lies outside of them,”</w:t>
      </w:r>
      <w:r>
        <w:t xml:space="preserve"> </w:t>
      </w:r>
      <w:r>
        <w:t xml:space="preserve">for example an alliance against a common enemy or the invisible church. He does not analyze that figure. He says the group-forming mediation of a third element</w:t>
      </w:r>
      <w:r>
        <w:t xml:space="preserve"> </w:t>
      </w:r>
      <w:r>
        <w:t xml:space="preserve">“ist indes in späterem Zusammenhang zu behandeln”</w:t>
      </w:r>
      <w:r>
        <w:t xml:space="preserve"> </w:t>
      </w:r>
      <w:r>
        <w:t xml:space="preserve">— is to be treated in a later context.</w:t>
      </w:r>
      <w:r>
        <w:rPr>
          <w:rStyle w:val="FootnoteReference"/>
        </w:rPr>
        <w:footnoteReference w:id="12"/>
      </w:r>
      <w:r>
        <w:t xml:space="preserve"> </w:t>
      </w:r>
      <w:r>
        <w:t xml:space="preserve">That undeveloped figure is the deferred third. It is what the thesis needs from Simmel: a coordinator with no known pair and no broker.</w:t>
      </w:r>
    </w:p>
    <w:p>
      <w:pPr>
        <w:pStyle w:val="BodyText"/>
      </w:pPr>
      <w:r>
        <w:rPr>
          <w:i/>
          <w:iCs/>
        </w:rPr>
        <w:t xml:space="preserve">Slacker</w:t>
      </w:r>
      <w:r>
        <w:t xml:space="preserve"> </w:t>
      </w:r>
      <w:r>
        <w:t xml:space="preserve">is built on it. A man off an overnight bus tells a taxi driver about lives he did not choose; the driver does not answer. One cut later, a woman lies in the street, and strangers manage the emergency out loud — calling an ambulance, reaching her son, pressing a card on a witness:</w:t>
      </w:r>
      <w:r>
        <w:t xml:space="preserve"> </w:t>
      </w:r>
      <w:r>
        <w:t xml:space="preserve">“Take my card. Give me a call. … I’d like to hear from you. I mean it.”</w:t>
      </w:r>
      <w:r>
        <w:rPr>
          <w:rStyle w:val="FootnoteReference"/>
        </w:rPr>
        <w:footnoteReference w:id="13"/>
      </w:r>
      <w:r>
        <w:t xml:space="preserve"> </w:t>
      </w:r>
      <w:r>
        <w:t xml:space="preserve">The offer leads nowhere. He leaves before the police arrive. A bystander says what no one else has said:</w:t>
      </w:r>
      <w:r>
        <w:t xml:space="preserve"> </w:t>
      </w:r>
      <w:r>
        <w:t xml:space="preserve">“Looks like some guy, uh, ran over his mother.”</w:t>
      </w:r>
      <w:r>
        <w:t xml:space="preserve"> </w:t>
      </w:r>
      <w:r>
        <w:t xml:space="preserve">Nothing audible connects the taxi scene to the accident. The two situations share a day, a city, and a camera. No character brokers a meeting between them. The join has no known pair and no broker. A broker knows both parties and occupies a position between them; measures of brokerage are measures of that position. A sidewalk does not know the parties. A film cut does not know them either. Both can place strangers within reach of one another without brokering anything. Reach means an environment that holds people where they can summon one another without naming which two will meet. The camera adds something the sidewalk alone does not. It selects the next stranger for the viewer. That combination — reach without brokerage, plus impersonal selection of what comes next — is already the platform’s cognitive shape.</w:t>
      </w:r>
    </w:p>
    <w:bookmarkEnd w:id="14"/>
    <w:bookmarkStart w:id="21" w:name="a-day-and-a-city-without-contact"/>
    <w:p>
      <w:pPr>
        <w:pStyle w:val="Heading2"/>
      </w:pPr>
      <w:r>
        <w:t xml:space="preserve">2. A day and a city, without contact</w:t>
      </w:r>
    </w:p>
    <w:p>
      <w:pPr>
        <w:pStyle w:val="FirstParagraph"/>
      </w:pPr>
      <w:r>
        <w:t xml:space="preserve">Simmel’s deferred third says how people can be joined without a broker. It does not say what belonging looks like for people who never meet. That is the second predicate the thesis needs, and Royce supplies it from the members’ side. He asked what makes a community rather than a crowd. His answer does not require that members meet. A community of memory exists when each member</w:t>
      </w:r>
      <w:r>
        <w:t xml:space="preserve"> </w:t>
      </w:r>
      <w:r>
        <w:t xml:space="preserve">“accepts as part of his own individual life and self the same past events that each of his fellow-members accepts.”</w:t>
      </w:r>
      <w:r>
        <w:t xml:space="preserve"> </w:t>
      </w:r>
      <w:r>
        <w:t xml:space="preserve">A community of expectation uses the same relation to shared future events.</w:t>
      </w:r>
      <w:r>
        <w:rPr>
          <w:rStyle w:val="FootnoteReference"/>
        </w:rPr>
        <w:footnoteReference w:id="15"/>
      </w:r>
      <w:r>
        <w:t xml:space="preserve"> </w:t>
      </w:r>
      <w:r>
        <w:t xml:space="preserve">His example is two Maori who each say they came over in the canoe Tai-Nui. They form a community with respect to that past even if, as Royce adds,</w:t>
      </w:r>
      <w:r>
        <w:t xml:space="preserve"> </w:t>
      </w:r>
      <w:r>
        <w:t xml:space="preserve">“Each may keep aloof from the other. They may be enemies.”</w:t>
      </w:r>
      <w:r>
        <w:rPr>
          <w:rStyle w:val="FootnoteReference"/>
        </w:rPr>
        <w:footnoteReference w:id="16"/>
      </w:r>
      <w:r>
        <w:t xml:space="preserve"> </w:t>
      </w:r>
      <w:r>
        <w:t xml:space="preserve">People can belong together through a shared relation to something outside them, including when they never encounter one another. Platform users later share logs, queues, and ratings the same way: a common outside record, not a negotiated encounter. Without Royce, the film’s strangers who never meet would look like a crowd; with him, they can be read as members of a platform community before the platform keeps the record.</w:t>
      </w:r>
    </w:p>
    <w:p>
      <w:pPr>
        <w:pStyle w:val="BodyText"/>
      </w:pPr>
      <w:r>
        <w:t xml:space="preserve">Membership without meeting still leaves the camera undertheorized: why should a cut count as anything more than style? Royce’s second contribution answers that only if interpretation is triadic.</w:t>
      </w:r>
      <w:r>
        <w:t xml:space="preserve"> </w:t>
      </w:r>
      <w:r>
        <w:t xml:space="preserve">“Interpretation always involves a relation of three terms,”</w:t>
      </w:r>
      <w:r>
        <w:t xml:space="preserve"> </w:t>
      </w:r>
      <w:r>
        <w:t xml:space="preserve">he wrote.</w:t>
      </w:r>
      <w:r>
        <w:t xml:space="preserve"> </w:t>
      </w:r>
      <w:r>
        <w:t xml:space="preserve">“In the technical phrase, interpretation is a triadic relation. That is, you cannot express any complete process of interpreting by merely naming two terms.”</w:t>
      </w:r>
      <w:r>
        <w:rPr>
          <w:rStyle w:val="FootnoteReference"/>
        </w:rPr>
        <w:footnoteReference w:id="17"/>
      </w:r>
      <w:r>
        <w:t xml:space="preserve"> </w:t>
      </w:r>
      <w:r>
        <w:t xml:space="preserve">An active synthesis of perception and conception</w:t>
      </w:r>
      <w:r>
        <w:t xml:space="preserve"> </w:t>
      </w:r>
      <w:r>
        <w:t xml:space="preserve">“does not by itself enable us to define a genuinely triadic classification.”</w:t>
      </w:r>
      <w:r>
        <w:rPr>
          <w:rStyle w:val="FootnoteReference"/>
        </w:rPr>
        <w:footnoteReference w:id="18"/>
      </w:r>
      <w:r>
        <w:t xml:space="preserve"> </w:t>
      </w:r>
      <w:r>
        <w:t xml:space="preserve">Two dyads in a row are not a triad. A camera or a dispatch system that coordinates occupies the interpreter’s place in a three-term relation. It does not merely sit between two already-related parties. That is what the thesis needs from the triad: a place for the apparatus that joins strangers for a viewer who never meets them.</w:t>
      </w:r>
    </w:p>
    <w:p>
      <w:pPr>
        <w:pStyle w:val="BodyText"/>
      </w:pPr>
      <w:r>
        <w:t xml:space="preserve">Two limits matter. Royce requires communication among living members beyond a shared past, so people can form a community without meeting and still cannot form one without communication.</w:t>
      </w:r>
      <w:r>
        <w:rPr>
          <w:rStyle w:val="FootnoteReference"/>
        </w:rPr>
        <w:footnoteReference w:id="19"/>
      </w:r>
      <w:r>
        <w:t xml:space="preserve"> </w:t>
      </w:r>
      <w:r>
        <w:t xml:space="preserve">And for Royce the interpreter is a mind: interpretation is</w:t>
      </w:r>
      <w:r>
        <w:t xml:space="preserve"> </w:t>
      </w:r>
      <w:r>
        <w:t xml:space="preserve">“a conversation, and not a lonely enterprise,”</w:t>
      </w:r>
      <w:r>
        <w:t xml:space="preserve"> </w:t>
      </w:r>
      <w:r>
        <w:t xml:space="preserve">and all three terms of his community are selves.</w:t>
      </w:r>
      <w:r>
        <w:rPr>
          <w:rStyle w:val="FootnoteReference"/>
        </w:rPr>
        <w:footnoteReference w:id="20"/>
      </w:r>
      <w:r>
        <w:t xml:space="preserve"> </w:t>
      </w:r>
      <w:r>
        <w:t xml:space="preserve">Treating a camera or a dispatch system as an interpreter is an extension beyond Royce, and it is mine. Royce supplies membership without meeting and does not authorize a technological interpreter. The film needs that extension: the camera does interpretive work Royce reserved for selves.</w:t>
      </w:r>
    </w:p>
    <w:p>
      <w:pPr>
        <w:pStyle w:val="BodyText"/>
      </w:pPr>
      <w:r>
        <w:t xml:space="preserve">The film shows a Roycean join that the characters do not arrange. In a café a man dictates aphorisms, casting himself as Dostoyevsky and his companion as Anna at work on</w:t>
      </w:r>
      <w:r>
        <w:t xml:space="preserve"> </w:t>
      </w:r>
      <w:r>
        <w:rPr>
          <w:i/>
          <w:iCs/>
        </w:rPr>
        <w:t xml:space="preserve">The Gambler</w:t>
      </w:r>
      <w:r>
        <w:t xml:space="preserve">. A passerby asks:</w:t>
      </w:r>
      <w:r>
        <w:t xml:space="preserve"> </w:t>
      </w:r>
      <w:r>
        <w:t xml:space="preserve">“You seen Gary around?”</w:t>
      </w:r>
      <w:r>
        <w:t xml:space="preserve"> </w:t>
      </w:r>
      <w:r>
        <w:t xml:space="preserve">Nobody has seen Gary for months. The passerby leaves. In the next segment, somewhere else, another man says he overheard that a friend is missing: one stranger asked, and a different stranger answered. The shared past of</w:t>
      </w:r>
      <w:r>
        <w:t xml:space="preserve"> </w:t>
      </w:r>
      <w:r>
        <w:t xml:space="preserve">“Gary is missing”</w:t>
      </w:r>
      <w:r>
        <w:t xml:space="preserve"> </w:t>
      </w:r>
      <w:r>
        <w:t xml:space="preserve">joins two people who never negotiated a handoff. The man who answered then pays for answering. He holds his listener through a suppressed moon program, colonies on Mars since 1962, and a rain-forest drug that leaves</w:t>
      </w:r>
      <w:r>
        <w:t xml:space="preserve"> </w:t>
      </w:r>
      <w:r>
        <w:t xml:space="preserve">“perfect employees,”</w:t>
      </w:r>
      <w:r>
        <w:t xml:space="preserve"> </w:t>
      </w:r>
      <w:r>
        <w:t xml:space="preserve">and does not pass the listener to anyone else. Later he stops a second man —</w:t>
      </w:r>
      <w:r>
        <w:t xml:space="preserve"> </w:t>
      </w:r>
      <w:r>
        <w:t xml:space="preserve">“Just a little security check. There’ve been some people missing”</w:t>
      </w:r>
      <w:r>
        <w:t xml:space="preserve"> </w:t>
      </w:r>
      <w:r>
        <w:t xml:space="preserve">— and releases him with</w:t>
      </w:r>
      <w:r>
        <w:t xml:space="preserve"> </w:t>
      </w:r>
      <w:r>
        <w:t xml:space="preserve">“You’re in a hurry. That makes perfect sense.”</w:t>
      </w:r>
      <w:r>
        <w:t xml:space="preserve"> </w:t>
      </w:r>
      <w:r>
        <w:t xml:space="preserve">The street made both openings possible. It did not choose who would meet whom. That is the platform shape again: reach without selection. A later feed keeps the drain on attention and removes the face you can answer or refuse in public.</w:t>
      </w:r>
    </w:p>
    <w:bookmarkEnd w:id="21"/>
    <w:bookmarkStart w:id="29" w:name="Xa83825fe28c4b2378ae6650ae1c8219d9e33bac"/>
    <w:p>
      <w:pPr>
        <w:pStyle w:val="Heading2"/>
      </w:pPr>
      <w:r>
        <w:t xml:space="preserve">3. A city that coordinated without employing</w:t>
      </w:r>
    </w:p>
    <w:p>
      <w:pPr>
        <w:pStyle w:val="FirstParagraph"/>
      </w:pPr>
      <w:r>
        <w:t xml:space="preserve">The platform form needs a material host. In 1990 Austin that host was a city that kept people within reach and did not organize their work. Without that combination,</w:t>
      </w:r>
      <w:r>
        <w:t xml:space="preserve"> </w:t>
      </w:r>
      <w:r>
        <w:rPr>
          <w:i/>
          <w:iCs/>
        </w:rPr>
        <w:t xml:space="preserve">Slacker</w:t>
      </w:r>
      <w:r>
        <w:t xml:space="preserve"> </w:t>
      </w:r>
      <w:r>
        <w:t xml:space="preserve">could not explore platform relations among people, sidewalks, and a camera; it would be a workplace film or a tight-market film instead.</w:t>
      </w:r>
    </w:p>
    <w:p>
      <w:pPr>
        <w:pStyle w:val="BodyText"/>
      </w:pPr>
      <w:r>
        <w:t xml:space="preserve">A census of all thirty-five segments of the film’s transcript, coded independently by two people, shows what paid work can be heard.</w:t>
      </w:r>
      <w:r>
        <w:rPr>
          <w:rStyle w:val="FootnoteReference"/>
        </w:rPr>
        <w:footnoteReference w:id="22"/>
      </w:r>
      <w:r>
        <w:t xml:space="preserve"> </w:t>
      </w:r>
      <w:r>
        <w:t xml:space="preserve">Every role that coordinates other people is staffed and working: the taxi, both counters, the door, and the staff who clear the room at closing. Other audible work does not coordinate anyone: children selling Cokes at half price, a man selling shirts and magazines on the street, a vendor running a two-for-one on newspapers, a store security supervisor handing off a shift, and two officers at the accident. Coordination is audible on the soundtrack, and employment beyond those coordinating posts is thin on the same evidence.</w:t>
      </w:r>
    </w:p>
    <w:p>
      <w:pPr>
        <w:pStyle w:val="BodyText"/>
      </w:pPr>
      <w:r>
        <w:t xml:space="preserve">Nobody in the film looks for a job. In both codings, across all thirty-five segments, no one seeks, applies for, or arranges paid work. The only job search in the transcript is a postcard about a housemate who has already left:</w:t>
      </w:r>
      <w:r>
        <w:t xml:space="preserve"> </w:t>
      </w:r>
      <w:r>
        <w:t xml:space="preserve">“So now he’s looking for a job that doesn’t involve much work.”</w:t>
      </w:r>
      <w:r>
        <w:t xml:space="preserve"> </w:t>
      </w:r>
      <w:r>
        <w:t xml:space="preserve">The only direct question about getting work is deferred to</w:t>
      </w:r>
      <w:r>
        <w:t xml:space="preserve"> </w:t>
      </w:r>
      <w:r>
        <w:t xml:space="preserve">“the true call.”</w:t>
      </w:r>
      <w:r>
        <w:t xml:space="preserve"> </w:t>
      </w:r>
      <w:r>
        <w:t xml:space="preserve">Audible work is either staffing a coordinating role or selling hand to hand on the street. Beyond one store and a few counters, no workplace appears. The only named employer is</w:t>
      </w:r>
      <w:r>
        <w:t xml:space="preserve"> </w:t>
      </w:r>
      <w:r>
        <w:t xml:space="preserve">“the security in the store.”</w:t>
      </w:r>
      <w:r>
        <w:t xml:space="preserve"> </w:t>
      </w:r>
      <w:r>
        <w:t xml:space="preserve">The city on screen coordinates encounter and does not employ the people it holds in reach. That is already a platform ecology: plenty of contact surface, little payroll binding the contacts.</w:t>
      </w:r>
    </w:p>
    <w:p>
      <w:pPr>
        <w:pStyle w:val="BodyText"/>
      </w:pPr>
      <w:r>
        <w:t xml:space="preserve">The city’s material conditions were slack. Across the 1980s housing grew faster than population, 48.0 percent against 34.6.</w:t>
      </w:r>
      <w:r>
        <w:rPr>
          <w:rStyle w:val="FootnoteReference"/>
        </w:rPr>
        <w:footnoteReference w:id="23"/>
      </w:r>
      <w:r>
        <w:t xml:space="preserve"> </w:t>
      </w:r>
      <w:r>
        <w:t xml:space="preserve">In December 1989 the Austin metro issued no multifamily building permits, against 632 in Houston and 260 in Dallas.</w:t>
      </w:r>
      <w:r>
        <w:rPr>
          <w:rStyle w:val="FootnoteReference"/>
        </w:rPr>
        <w:footnoteReference w:id="24"/>
      </w:r>
      <w:r>
        <w:t xml:space="preserve"> </w:t>
      </w:r>
      <w:r>
        <w:t xml:space="preserve">Vacancy was 11.6 percent in a city with 50,245 university students that autumn.</w:t>
      </w:r>
      <w:r>
        <w:rPr>
          <w:rStyle w:val="FootnoteReference"/>
        </w:rPr>
        <w:footnoteReference w:id="25"/>
      </w:r>
      <w:r>
        <w:t xml:space="preserve"> </w:t>
      </w:r>
      <w:r>
        <w:t xml:space="preserve">Austin was not cheap — median contract rent $346, above Houston and San Antonio</w:t>
      </w:r>
      <w:r>
        <w:rPr>
          <w:rStyle w:val="FootnoteReference"/>
        </w:rPr>
        <w:footnoteReference w:id="26"/>
      </w:r>
      <w:r>
        <w:t xml:space="preserve"> </w:t>
      </w:r>
      <w:r>
        <w:t xml:space="preserve">— but slack, in a city where a film could be shot for $23,000,</w:t>
      </w:r>
      <w:r>
        <w:rPr>
          <w:rStyle w:val="FootnoteReference"/>
        </w:rPr>
        <w:footnoteReference w:id="27"/>
      </w:r>
      <w:r>
        <w:t xml:space="preserve"> </w:t>
      </w:r>
      <w:r>
        <w:t xml:space="preserve">is what made a day like the film’s day possible. Slack is the condition under which a deferred third can run on sidewalks and cuts instead of on payroll.</w:t>
      </w:r>
    </w:p>
    <w:p>
      <w:pPr>
        <w:pStyle w:val="BodyText"/>
      </w:pPr>
      <w:r>
        <w:t xml:space="preserve">Identity readings of this city-and-film pair leave the coordinating structure unread. Erickson treats the film as emblematic beyond its observational origins; Long treats it as constitutive of place identity.</w:t>
      </w:r>
      <w:r>
        <w:rPr>
          <w:rStyle w:val="FootnoteReference"/>
        </w:rPr>
        <w:footnoteReference w:id="28"/>
      </w:r>
      <w:r>
        <w:t xml:space="preserve"> </w:t>
      </w:r>
      <w:r>
        <w:t xml:space="preserve">Their myth-making point can be turned toward the thesis: if many people accept that filmed past as part of their own past, they meet Royce’s community of memory. The myth is platform membership — a shared outside past. It does not cancel the coordinating structure the film records.</w:t>
      </w:r>
    </w:p>
    <w:p>
      <w:pPr>
        <w:pStyle w:val="BodyText"/>
      </w:pPr>
      <w:r>
        <w:t xml:space="preserve">If the film showed people looking for employment, or if the 1990 figures showed a tight housing market and a production boom, the film would not be usable as an exploration of platform relations before digital optimization.</w:t>
      </w:r>
    </w:p>
    <w:bookmarkEnd w:id="29"/>
    <w:bookmarkStart w:id="32" w:name="the-joining-migrates"/>
    <w:p>
      <w:pPr>
        <w:pStyle w:val="Heading2"/>
      </w:pPr>
      <w:r>
        <w:t xml:space="preserve">4. The joining migrates</w:t>
      </w:r>
    </w:p>
    <w:p>
      <w:pPr>
        <w:pStyle w:val="FirstParagraph"/>
      </w:pPr>
      <w:r>
        <w:t xml:space="preserve">A deferred third can hold people in reach without selecting who meets whom. A cut does select: it decides the next encounter for the viewer. Contemporary feeds do both inside one apparatus.</w:t>
      </w:r>
      <w:r>
        <w:t xml:space="preserve"> </w:t>
      </w:r>
      <w:r>
        <w:rPr>
          <w:i/>
          <w:iCs/>
        </w:rPr>
        <w:t xml:space="preserve">Slacker</w:t>
      </w:r>
      <w:r>
        <w:t xml:space="preserve"> </w:t>
      </w:r>
      <w:r>
        <w:t xml:space="preserve">keeps the functions separable and moves the work of joining among them, which is how the film teaches the shape of platform sequencing before the apparatus is unified.</w:t>
      </w:r>
    </w:p>
    <w:p>
      <w:pPr>
        <w:pStyle w:val="BodyText"/>
      </w:pPr>
      <w:r>
        <w:t xml:space="preserve">Early on, the cut does most of the joining and characters do little: a question about a missing friend; a report that housemate Paul has vanished, closed with</w:t>
      </w:r>
      <w:r>
        <w:t xml:space="preserve"> </w:t>
      </w:r>
      <w:r>
        <w:t xml:space="preserve">“Why don’t you come look? It’s really weird.”</w:t>
      </w:r>
      <w:r>
        <w:t xml:space="preserve"> </w:t>
      </w:r>
      <w:r>
        <w:t xml:space="preserve">In the middle, characters take over — offering lifts, addresses, a van, a stamp, a camera. By dawn the cut resumes, over a recorded voice and a hail into an empty street.</w:t>
      </w:r>
    </w:p>
    <w:p>
      <w:pPr>
        <w:pStyle w:val="BodyText"/>
      </w:pPr>
      <w:r>
        <w:t xml:space="preserve">For each of the thirty-four transitions, two coders asked whether anything audible crosses the seam, and whether an act by one character toward another produces the next encounter (agreement 82 percent and 91 percent; κ = 0.75 and 0.84).</w:t>
      </w:r>
      <w:r>
        <w:rPr>
          <w:rStyle w:val="FootnoteReference"/>
        </w:rPr>
        <w:footnoteReference w:id="30"/>
      </w:r>
      <w:r>
        <w:t xml:space="preserve"> </w:t>
      </w:r>
      <w:r>
        <w:t xml:space="preserve">Fifteen or sixteen transitions carry an audible link; four or five are equivocal.</w:t>
      </w:r>
      <w:r>
        <w:rPr>
          <w:rStyle w:val="FootnoteReference"/>
        </w:rPr>
        <w:footnoteReference w:id="31"/>
      </w:r>
      <w:r>
        <w:t xml:space="preserve"> </w:t>
      </w:r>
      <w:r>
        <w:t xml:space="preserve">The source is a subtitle transcript, so the Criterion disc may change the counts.</w:t>
      </w:r>
    </w:p>
    <w:p>
      <w:pPr>
        <w:pStyle w:val="BodyText"/>
      </w:pPr>
      <w:r>
        <w:t xml:space="preserve">Of the first fifteen transitions, four or five have an audible link; of the middle fifteen, eleven do; of the last four, the transcript shows none. The middle third stacks deliberate handoffs: a lift into town; an address pressed on a driver; a guest list and a van; a stamp offered at one door and used at the next; a camera handed to a stranger at a party.</w:t>
      </w:r>
    </w:p>
    <w:p>
      <w:pPr>
        <w:pStyle w:val="BodyText"/>
      </w:pPr>
      <w:r>
        <w:t xml:space="preserve">Six of the thirty-four transitions are deliberate in both codings, and five of those six fall in the middle third. Deliberate means an act aimed at another person that is meant to produce the next encounter. An offer, invitation, address, or object handed over for that purpose counts. A character who announces a solo next move does not count. Each of the six uses something that can pass between hands and be said, spelled, demonstrated, copied, or demanded back:</w:t>
      </w:r>
      <w:r>
        <w:t xml:space="preserve"> </w:t>
      </w:r>
      <w:r>
        <w:t xml:space="preserve">“How about a lift back into town?”</w:t>
      </w:r>
      <w:r>
        <w:t xml:space="preserve"> </w:t>
      </w:r>
      <w:r>
        <w:t xml:space="preserve">“Yeah.”</w:t>
      </w:r>
      <w:r>
        <w:t xml:space="preserve"> </w:t>
      </w:r>
      <w:r>
        <w:t xml:space="preserve">“The address, man. Take me there. Drop me off.”</w:t>
      </w:r>
      <w:r>
        <w:t xml:space="preserve"> </w:t>
      </w:r>
      <w:r>
        <w:t xml:space="preserve">“Do I have a car? I have a van.”</w:t>
      </w:r>
      <w:r>
        <w:t xml:space="preserve"> </w:t>
      </w:r>
      <w:r>
        <w:t xml:space="preserve">At the party:</w:t>
      </w:r>
      <w:r>
        <w:t xml:space="preserve"> </w:t>
      </w:r>
      <w:r>
        <w:t xml:space="preserve">“Shoot whatever you want. Pass it around … But I want my camera back, all right?”</w:t>
      </w:r>
      <w:r>
        <w:t xml:space="preserve"> </w:t>
      </w:r>
      <w:r>
        <w:t xml:space="preserve">When characters join scenes, they use holdable, sayable instruments. Selection is done by people, using objects whose terms can be spoken.</w:t>
      </w:r>
    </w:p>
    <w:p>
      <w:pPr>
        <w:pStyle w:val="BodyText"/>
      </w:pPr>
      <w:r>
        <w:t xml:space="preserve">When the cut joins scenes, there is nothing to hand over and no one to address. Segments 33 and 34 speak with no hearer present: a recorded voice on mourning and freedom, a hail into the street, a man reciting a weapons giveaway to nobody. The cut carries the film across those four transitions with no audible link. Selection continues, and speakability drops out. That is already closer to a feed. The viewer receives the next encounter from an apparatus that does not explain the handoff.</w:t>
      </w:r>
    </w:p>
    <w:p>
      <w:pPr>
        <w:pStyle w:val="BodyText"/>
      </w:pPr>
      <w:r>
        <w:t xml:space="preserve">Reach stays constant: Austin holds people where they can summon one another without naming which two, from first frame to last. Cut-selection stays constant: every viewer since 1990 meets these people in the same order. What migrates is only who performs the joining — cut, then characters with holdable instruments, then cut again. Digital platforms later fuse reach and selection. The film shows them coming apart and recombining in one day, which is why a scroll of loosely linked items can look like a vestige of</w:t>
      </w:r>
      <w:r>
        <w:t xml:space="preserve"> </w:t>
      </w:r>
      <w:r>
        <w:rPr>
          <w:i/>
          <w:iCs/>
        </w:rPr>
        <w:t xml:space="preserve">Slacker</w:t>
      </w:r>
      <w:r>
        <w:t xml:space="preserve">: weak ties among units, strong control over sequence.</w:t>
      </w:r>
    </w:p>
    <w:bookmarkEnd w:id="32"/>
    <w:bookmarkStart w:id="36" w:name="what-a-third-can-do-to-you"/>
    <w:p>
      <w:pPr>
        <w:pStyle w:val="Heading2"/>
      </w:pPr>
      <w:r>
        <w:t xml:space="preserve">5. What a third can do to you</w:t>
      </w:r>
    </w:p>
    <w:p>
      <w:pPr>
        <w:pStyle w:val="FirstParagraph"/>
      </w:pPr>
      <w:r>
        <w:t xml:space="preserve">When Steve hits the guest list he is priced, evaluated, refused, and left without a ground of argument. Simmel and Royce give structure and membership; they do not give those powers. Without them the thesis can describe reach and belonging, but it cannot say how a deferred third acts on people who need it in order to work, watch, or enter. The third predicate is those powers — pricing an exchange, evaluating a party, removing a party, and withholding the reason. Reich named the legal form of that dependence: access held as a grant rather than as property. The film stages each power as one human decision — still speakable, still contestable — on the way to an apparatus that will write them into rules.</w:t>
      </w:r>
    </w:p>
    <w:p>
      <w:pPr>
        <w:pStyle w:val="BodyText"/>
      </w:pPr>
      <w:r>
        <w:t xml:space="preserve">“What’s up, dude? I’m on the guest list.”</w:t>
      </w:r>
      <w:r>
        <w:t xml:space="preserve"> </w:t>
      </w:r>
      <w:r>
        <w:t xml:space="preserve">The doorman answers with a price:</w:t>
      </w:r>
      <w:r>
        <w:t xml:space="preserve"> </w:t>
      </w:r>
      <w:r>
        <w:t xml:space="preserve">“Three dollars.”</w:t>
      </w:r>
      <w:r>
        <w:t xml:space="preserve"> </w:t>
      </w:r>
      <w:r>
        <w:t xml:space="preserve">Steve spells his name —</w:t>
      </w:r>
      <w:r>
        <w:t xml:space="preserve"> </w:t>
      </w:r>
      <w:r>
        <w:t xml:space="preserve">“S-T-E-V-E. Steve plus three or four”</w:t>
      </w:r>
      <w:r>
        <w:t xml:space="preserve"> </w:t>
      </w:r>
      <w:r>
        <w:t xml:space="preserve">— and is refused:</w:t>
      </w:r>
      <w:r>
        <w:t xml:space="preserve"> </w:t>
      </w:r>
      <w:r>
        <w:t xml:space="preserve">“Sorry, Steve. Don’t see you.”</w:t>
      </w:r>
      <w:r>
        <w:t xml:space="preserve"> </w:t>
      </w:r>
      <w:r>
        <w:t xml:space="preserve">He argues that the band on stage is his roommate’s. The door does not change. Withholding a reason is separate from the other three because without a reason the contested party cannot argue about price, evaluation, or removal. The fourth power closes the other three against contest by denying the contested party a ground of argument.</w:t>
      </w:r>
    </w:p>
    <w:p>
      <w:pPr>
        <w:pStyle w:val="BodyText"/>
      </w:pPr>
      <w:r>
        <w:t xml:space="preserve">The door prices, and a cover is named at five dollars. It evaluates by checking a name against a list and refusing it. It removes at 2:00 a.m., clearing the room with a stated reason and no destination —</w:t>
      </w:r>
      <w:r>
        <w:t xml:space="preserve"> </w:t>
      </w:r>
      <w:r>
        <w:t xml:space="preserve">“It’s past 2:00. Everybody out. … You gotta be somewhere. You can’t be here. And I wanna go home.”</w:t>
      </w:r>
      <w:r>
        <w:t xml:space="preserve"> </w:t>
      </w:r>
      <w:r>
        <w:t xml:space="preserve">It never chooses which two people will meet. The one deliberate handoff the census records there comes from a stranger. The doorman does not make that handoff. So pricing and expulsion do not require selection. A market square that selects almost no meetings can still charge rent and call the police. The four powers can attach to a deferred third without turning it into a broker. Digital platforms do not invent that attachment. They systematize it.</w:t>
      </w:r>
    </w:p>
    <w:p>
      <w:pPr>
        <w:pStyle w:val="BodyText"/>
      </w:pPr>
      <w:r>
        <w:t xml:space="preserve">Platforms put all four capacities in writing, which is the evidence the thesis needs that the door’s powers survive optimization rather than disappearing into software. Amazon’s Prime Video licensing page states:</w:t>
      </w:r>
      <w:r>
        <w:t xml:space="preserve"> </w:t>
      </w:r>
      <w:r>
        <w:t xml:space="preserve">“Unless otherwise indicated, removed titles (or titles not selected for licensing) may not be resubmitted or appealed. All content is selected at the sole discretion of Prime Video, and we cannot provide additional details about why any specific title was or was not selected for licensing.”</w:t>
      </w:r>
      <w:r>
        <w:t xml:space="preserve"> </w:t>
      </w:r>
      <w:r>
        <w:t xml:space="preserve">The same page says a rights holder can see non-selection in a portal. The verdict arrives, and the reasons do not.</w:t>
      </w:r>
      <w:r>
        <w:rPr>
          <w:rStyle w:val="FootnoteReference"/>
        </w:rPr>
        <w:footnoteReference w:id="33"/>
      </w:r>
      <w:r>
        <w:t xml:space="preserve"> </w:t>
      </w:r>
      <w:r>
        <w:t xml:space="preserve">Evaluation is also on the page: live titles are judged by performance metrics and viewing behavior, and titles that fail engagement standards may be removed. For labor, the evidence is thinner. Rideshare Drivers United and the Asian Law Caucus surveyed 810 California drivers in April–July 2022 through union networks (a convenience sample biased toward people who wanted to document deactivation). Two-thirds reported deactivation at some point; 30 percent of those given no reason at all.</w:t>
      </w:r>
      <w:r>
        <w:rPr>
          <w:rStyle w:val="FootnoteReference"/>
        </w:rPr>
        <w:footnoteReference w:id="34"/>
      </w:r>
    </w:p>
    <w:p>
      <w:pPr>
        <w:pStyle w:val="BodyText"/>
      </w:pPr>
      <w:r>
        <w:t xml:space="preserve">One rival account of thirds must be set aside so the deferred third is not mistaken for it. Some thirds sit between parties who are forbidden to deal with each other directly. Formal models ask whether such a third would still be needed if the prohibition were lifted.</w:t>
      </w:r>
      <w:r>
        <w:rPr>
          <w:rStyle w:val="FootnoteReference"/>
        </w:rPr>
        <w:footnoteReference w:id="35"/>
      </w:r>
      <w:r>
        <w:t xml:space="preserve"> </w:t>
      </w:r>
      <w:r>
        <w:t xml:space="preserve">The deferred third has no such test. Its neighbors were never forbidden to meet. They simply never met. The third is not patching a banned edge; it is joining people who share an outside relation and may never share an encounter. That is the platform predicate again, not a workaround for a banned market.</w:t>
      </w:r>
    </w:p>
    <w:bookmarkEnd w:id="36"/>
    <w:bookmarkStart w:id="38" w:name="co-optation"/>
    <w:p>
      <w:pPr>
        <w:pStyle w:val="Heading2"/>
      </w:pPr>
      <w:r>
        <w:t xml:space="preserve">6. Co-optation</w:t>
      </w:r>
    </w:p>
    <w:p>
      <w:pPr>
        <w:pStyle w:val="FirstParagraph"/>
      </w:pPr>
      <w:r>
        <w:t xml:space="preserve">At the party a PixelVision camera passes from hand to hand: contributors join someone else’s project without becoming employees of it. The literature that lets us name that enrollment arrives in chronological order, and the order matters. Simmel named and deferred the structure in 1908. Royce described membership without meeting in 1913. Reich described grant-access and undisclosed reasons in 1964. Those three were available when</w:t>
      </w:r>
      <w:r>
        <w:t xml:space="preserve"> </w:t>
      </w:r>
      <w:r>
        <w:rPr>
          <w:i/>
          <w:iCs/>
        </w:rPr>
        <w:t xml:space="preserve">Slacker</w:t>
      </w:r>
      <w:r>
        <w:t xml:space="preserve"> </w:t>
      </w:r>
      <w:r>
        <w:t xml:space="preserve">was shot. Stark and Pais published in 2020: last in the sequence, and the name for what the first three leave unclassified.</w:t>
      </w:r>
      <w:r>
        <w:rPr>
          <w:rStyle w:val="FootnoteReference"/>
        </w:rPr>
        <w:footnoteReference w:id="37"/>
      </w:r>
    </w:p>
    <w:p>
      <w:pPr>
        <w:pStyle w:val="BodyText"/>
      </w:pPr>
      <w:r>
        <w:t xml:space="preserve">Simmel, Royce, and Reich can describe a deferred third, membership in it, and the powers it can exercise. They cannot say which coordination form that is. If platform coordination is only market, hierarchy, or network, then Steve at the door is a customer, an employee, or a collaborator, and none of those labels fits. Markets coordinate by contract, hierarchies by command, networks by collaboration. Stark and Pais argue that platforms require a fourth form whose verb is co-opt: owners enroll providers and users in algorithmic management without managerial authority having been delegated to them. Co-optation is what the thesis needs in order to read the door, the PixelVision camera, and the licensing page as one form rather than as failed versions of the other three.</w:t>
      </w:r>
    </w:p>
    <w:p>
      <w:pPr>
        <w:pStyle w:val="BodyText"/>
      </w:pPr>
      <w:r>
        <w:t xml:space="preserve">The film shows that enrollment while it is still spoken. Terms can be negotiated and enforced by the man who wants the camera back. The licensing page keeps the enrollment and removes the person who can be argued with. The parallel is exact on the enrollment and broken on the face:</w:t>
      </w:r>
      <w:r>
        <w:t xml:space="preserve"> </w:t>
      </w:r>
      <w:r>
        <w:rPr>
          <w:i/>
          <w:iCs/>
        </w:rPr>
        <w:t xml:space="preserve">Slacker</w:t>
      </w:r>
      <w:r>
        <w:t xml:space="preserve"> </w:t>
      </w:r>
      <w:r>
        <w:t xml:space="preserve">still has a man to answer; the optimized platform does not. No one at that party could have known they were rehearsing the form Stark and Pais would later name. The same form fits the city’s audible work: coordinating posts are staffed; the people held in reach are not on payroll. Enrollment without hiring — not contract, not command, not collaboration among equals.</w:t>
      </w:r>
    </w:p>
    <w:bookmarkEnd w:id="38"/>
    <w:bookmarkStart w:id="39" w:name="Xd809ead6fd9820f84042ed6b5a34f31a8815d77"/>
    <w:p>
      <w:pPr>
        <w:pStyle w:val="Heading2"/>
      </w:pPr>
      <w:r>
        <w:t xml:space="preserve">7. A community of memory, and no loyalty in it</w:t>
      </w:r>
    </w:p>
    <w:p>
      <w:pPr>
        <w:pStyle w:val="FirstParagraph"/>
      </w:pPr>
      <w:r>
        <w:t xml:space="preserve">If the platform is a deferred third, the thesis still owes an answer to Royce’s further demand: loyalty. A platform can meet his memory conditions without meeting that demand.</w:t>
      </w:r>
      <w:r>
        <w:t xml:space="preserve"> </w:t>
      </w:r>
      <w:r>
        <w:rPr>
          <w:i/>
          <w:iCs/>
        </w:rPr>
        <w:t xml:space="preserve">Slacker</w:t>
      </w:r>
      <w:r>
        <w:t xml:space="preserve"> </w:t>
      </w:r>
      <w:r>
        <w:t xml:space="preserve">already shows membership of that kind. Digital platforms secure it with records.</w:t>
      </w:r>
    </w:p>
    <w:p>
      <w:pPr>
        <w:pStyle w:val="BodyText"/>
      </w:pPr>
      <w:r>
        <w:t xml:space="preserve">On screen,</w:t>
      </w:r>
      <w:r>
        <w:t xml:space="preserve"> </w:t>
      </w:r>
      <w:r>
        <w:rPr>
          <w:i/>
          <w:iCs/>
        </w:rPr>
        <w:t xml:space="preserve">Slacker</w:t>
      </w:r>
      <w:r>
        <w:t xml:space="preserve">’s people do not show devotion to a calling. One man will take a job</w:t>
      </w:r>
      <w:r>
        <w:t xml:space="preserve"> </w:t>
      </w:r>
      <w:r>
        <w:t xml:space="preserve">“when I hear the true call”</w:t>
      </w:r>
      <w:r>
        <w:t xml:space="preserve"> </w:t>
      </w:r>
      <w:r>
        <w:t xml:space="preserve">and will not say what that is. Royce’s conditions for a community of memory do not require devotion. They require selves that can extend their lives beyond the present, communication among contemporaries, and shared past events accepted as part of each member’s own life. A platform meets all three conditions, and meets them more securely than a city does, because it keeps the record.</w:t>
      </w:r>
    </w:p>
    <w:p>
      <w:pPr>
        <w:pStyle w:val="BodyText"/>
      </w:pPr>
      <w:r>
        <w:t xml:space="preserve">Loyalty is what Royce adds. It makes a shared past</w:t>
      </w:r>
      <w:r>
        <w:t xml:space="preserve"> </w:t>
      </w:r>
      <w:r>
        <w:rPr>
          <w:i/>
          <w:iCs/>
        </w:rPr>
        <w:t xml:space="preserve">mine</w:t>
      </w:r>
      <w:r>
        <w:t xml:space="preserve"> </w:t>
      </w:r>
      <w:r>
        <w:t xml:space="preserve">rather than only true of me. The film’s people share a day and a city and meet the memory conditions, without the loyalty claim. Platform users who share logs, ratings, and histories they did not choose to author as a common life meet the same conditions.</w:t>
      </w:r>
    </w:p>
    <w:p>
      <w:pPr>
        <w:pStyle w:val="BodyText"/>
      </w:pPr>
      <w:r>
        <w:t xml:space="preserve">Two differences between film and platform can be tested. First, custody. People in</w:t>
      </w:r>
      <w:r>
        <w:t xml:space="preserve"> </w:t>
      </w:r>
      <w:r>
        <w:rPr>
          <w:i/>
          <w:iCs/>
        </w:rPr>
        <w:t xml:space="preserve">Slacker</w:t>
      </w:r>
      <w:r>
        <w:t xml:space="preserve"> </w:t>
      </w:r>
      <w:r>
        <w:t xml:space="preserve">can recount their day. Segment 24 says so through the man surrounded by televisions, who cannot consult a death he witnessed:</w:t>
      </w:r>
      <w:r>
        <w:t xml:space="preserve"> </w:t>
      </w:r>
      <w:r>
        <w:t xml:space="preserve">“I have no reference to it now. I can’t refer back to it. I can’t press rewind. I can’t put it on pause.”</w:t>
      </w:r>
      <w:r>
        <w:t xml:space="preserve"> </w:t>
      </w:r>
      <w:r>
        <w:t xml:space="preserve">A driver cannot replay an allocation. The offer expires, the queue moves, the next fare stays sealed, and the other party to the pairing is the party the driver may not ask. The platform keeps custody of the past that Royce’s members would have to keep themselves. The film already names the problem as rewind. The cognitive space of platform life includes a past you cannot press.</w:t>
      </w:r>
    </w:p>
    <w:p>
      <w:pPr>
        <w:pStyle w:val="BodyText"/>
      </w:pPr>
      <w:r>
        <w:t xml:space="preserve">Second, indifference. In the film an arranged encounter is a guest list — spoken before witnesses, checkable at a door — and it fails in public:</w:t>
      </w:r>
      <w:r>
        <w:t xml:space="preserve"> </w:t>
      </w:r>
      <w:r>
        <w:t xml:space="preserve">“Fuck. I’m not on the list.”</w:t>
      </w:r>
      <w:r>
        <w:t xml:space="preserve"> </w:t>
      </w:r>
      <w:r>
        <w:t xml:space="preserve">“Figures.”</w:t>
      </w:r>
      <w:r>
        <w:t xml:space="preserve"> </w:t>
      </w:r>
      <w:r>
        <w:t xml:space="preserve">The group renegotiates on the sidewalk. A queue position is assigned to one driver inside an app, on partly stated inputs, whether or not the driver assents. He stays in the queue and stays rateable either way. Roycean membership cannot do that. Membership without assent is what a deferred third plus powers can impose, and digital platforms optimize that imposition.</w:t>
      </w:r>
    </w:p>
    <w:p>
      <w:pPr>
        <w:pStyle w:val="BodyText"/>
      </w:pPr>
      <w:r>
        <w:t xml:space="preserve">Loyalty does appear outside the platform. The survey above exists because 810 drivers organized to produce it. That organization is loyalty in Royce’s sense, formed against the third and not through it.</w:t>
      </w:r>
    </w:p>
    <w:bookmarkEnd w:id="39"/>
    <w:bookmarkStart w:id="48" w:name="the-guest-list-and-the-stamp"/>
    <w:p>
      <w:pPr>
        <w:pStyle w:val="Heading2"/>
      </w:pPr>
      <w:r>
        <w:t xml:space="preserve">8. The guest list and the stamp</w:t>
      </w:r>
    </w:p>
    <w:p>
      <w:pPr>
        <w:pStyle w:val="FirstParagraph"/>
      </w:pPr>
      <w:r>
        <w:t xml:space="preserve">The four powers name what a third can do. They do not yet name the change in how access itself is held — and without that change the guest list and the stamp look like local color rather than two regimes of platform life. Reich’s second contribution is that change. The film stages both sides of it at two doors on one night: a guest list that behaves like a grant, and a stamp that behaves like property. Platform life inherits the grant form; the stamp is what speakable, copyable access looked like before optimization removed the demonstration.</w:t>
      </w:r>
    </w:p>
    <w:p>
      <w:pPr>
        <w:pStyle w:val="BodyText"/>
      </w:pPr>
      <w:r>
        <w:t xml:space="preserve">Reich observed that valuables had moved from ownership into grants, so the holder faces a counterparty that writes the terms, changes them, adjudicates disputes in its own forum, and owes no procedure.</w:t>
      </w:r>
      <w:r>
        <w:rPr>
          <w:rStyle w:val="FootnoteReference"/>
        </w:rPr>
        <w:footnoteReference w:id="40"/>
      </w:r>
      <w:r>
        <w:t xml:space="preserve"> </w:t>
      </w:r>
      <w:r>
        <w:t xml:space="preserve">Courts moved first where livelihood was at stake, on interests</w:t>
      </w:r>
      <w:r>
        <w:t xml:space="preserve"> </w:t>
      </w:r>
      <w:r>
        <w:t xml:space="preserve">“intimately bound up with the individual’s freedom to earn a living.”</w:t>
      </w:r>
      <w:r>
        <w:rPr>
          <w:rStyle w:val="FootnoteReference"/>
        </w:rPr>
        <w:footnoteReference w:id="41"/>
      </w:r>
      <w:r>
        <w:t xml:space="preserve"> </w:t>
      </w:r>
      <w:r>
        <w:t xml:space="preserve">Reich also wrote that</w:t>
      </w:r>
      <w:r>
        <w:t xml:space="preserve"> </w:t>
      </w:r>
      <w:r>
        <w:t xml:space="preserve">“the denial of any form of privilege or benefit on the basis of undisclosed reasons should no longer be tolerated.”</w:t>
      </w:r>
      <w:r>
        <w:rPr>
          <w:rStyle w:val="FootnoteReference"/>
        </w:rPr>
        <w:footnoteReference w:id="42"/>
      </w:r>
      <w:r>
        <w:t xml:space="preserve"> </w:t>
      </w:r>
      <w:r>
        <w:t xml:space="preserve">That sentence is the fourth power, stated as a legal demand, sixty years before the licensing page. It enters the thesis because the licensing page’s silence is not a new cruelty; it is the grant form optimized.</w:t>
      </w:r>
    </w:p>
    <w:p>
      <w:pPr>
        <w:pStyle w:val="BodyText"/>
      </w:pPr>
      <w:r>
        <w:t xml:space="preserve">The guest list is a grant: allocated by the grantor, held in the grantor’s record, denied without a stated ground, with the doorman as the only tribunal.</w:t>
      </w:r>
      <w:r>
        <w:t xml:space="preserve"> </w:t>
      </w:r>
      <w:r>
        <w:t xml:space="preserve">“I made him put me on the guest list, and I’m on the guest list,”</w:t>
      </w:r>
      <w:r>
        <w:t xml:space="preserve"> </w:t>
      </w:r>
      <w:r>
        <w:t xml:space="preserve">says a woman who is not on it. The stamp is property. Outside another door a man hears that the cover is five dollars and offers:</w:t>
      </w:r>
      <w:r>
        <w:t xml:space="preserve"> </w:t>
      </w:r>
      <w:r>
        <w:t xml:space="preserve">“But, uh, I got a stamp. I think I can, you know, get you in or something.”</w:t>
      </w:r>
      <w:r>
        <w:t xml:space="preserve"> </w:t>
      </w:r>
      <w:r>
        <w:t xml:space="preserve">He shows the transfer —</w:t>
      </w:r>
      <w:r>
        <w:t xml:space="preserve"> </w:t>
      </w:r>
      <w:r>
        <w:t xml:space="preserve">“Here, watch. It’s easy. Watch. You just do this,”</w:t>
      </w:r>
      <w:r>
        <w:t xml:space="preserve"> </w:t>
      </w:r>
      <w:r>
        <w:t xml:space="preserve">whatever</w:t>
      </w:r>
      <w:r>
        <w:t xml:space="preserve"> </w:t>
      </w:r>
      <w:r>
        <w:rPr>
          <w:i/>
          <w:iCs/>
        </w:rPr>
        <w:t xml:space="preserve">this</w:t>
      </w:r>
      <w:r>
        <w:t xml:space="preserve"> </w:t>
      </w:r>
      <w:r>
        <w:t xml:space="preserve">is [DISC:S5] — and at the next door the same group uses the claim against another five-dollar cover. A rule that can be stated can be copied, including by strangers who met its owner minutes earlier. Property-like access is speakable and transferable, and grant-like access is not. Algorithmacy begins where the grant form dominates and the stamp’s public lesson is gone.</w:t>
      </w:r>
    </w:p>
    <w:p>
      <w:pPr>
        <w:pStyle w:val="BodyText"/>
      </w:pPr>
      <w:r>
        <w:t xml:space="preserve">Reich wrote about government. I apply the same structure to private parties because the film’s doors and the licensing page are private counterparties, and the thesis needs the grant form there, not only in the administrative state. He listed franchises, equities, and</w:t>
      </w:r>
      <w:r>
        <w:t xml:space="preserve"> </w:t>
      </w:r>
      <w:r>
        <w:t xml:space="preserve">“status in private organizations”</w:t>
      </w:r>
      <w:r>
        <w:t xml:space="preserve"> </w:t>
      </w:r>
      <w:r>
        <w:t xml:space="preserve">as the next frontier and did not pursue them.</w:t>
      </w:r>
      <w:r>
        <w:rPr>
          <w:rStyle w:val="FootnoteReference"/>
        </w:rPr>
        <w:footnoteReference w:id="43"/>
      </w:r>
    </w:p>
    <w:p>
      <w:pPr>
        <w:pStyle w:val="BodyText"/>
      </w:pPr>
      <w:r>
        <w:t xml:space="preserve">Standing between parties does not by itself create the power to withhold a reason — a distinction that keeps every electronic third from counting as a platform of the</w:t>
      </w:r>
      <w:r>
        <w:t xml:space="preserve"> </w:t>
      </w:r>
      <w:r>
        <w:rPr>
          <w:i/>
          <w:iCs/>
        </w:rPr>
        <w:t xml:space="preserve">Slacker</w:t>
      </w:r>
      <w:r>
        <w:t xml:space="preserve"> </w:t>
      </w:r>
      <w:r>
        <w:t xml:space="preserve">kind. Near the film’s release, wholesale foreign-exchange markets built electronic matching venues: Reuters Dealing 2000-2 in 1992, EBS in September 1993.</w:t>
      </w:r>
      <w:r>
        <w:rPr>
          <w:rStyle w:val="FootnoteReference"/>
        </w:rPr>
        <w:footnoteReference w:id="44"/>
      </w:r>
      <w:r>
        <w:t xml:space="preserve"> </w:t>
      </w:r>
      <w:r>
        <w:t xml:space="preserve">Those venues are third parties, not counterparties to the trades. The BIS classifies as indirect any trade involving</w:t>
      </w:r>
      <w:r>
        <w:t xml:space="preserve"> </w:t>
      </w:r>
      <w:r>
        <w:t xml:space="preserve">“a third party in the matching process,”</w:t>
      </w:r>
      <w:r>
        <w:t xml:space="preserve"> </w:t>
      </w:r>
      <w:r>
        <w:t xml:space="preserve">and the venues’ rulebooks say the same:</w:t>
      </w:r>
      <w:r>
        <w:t xml:space="preserve"> </w:t>
      </w:r>
      <w:r>
        <w:t xml:space="preserve">“LSEG is not a party to … Transactions conducted on the Platform.”</w:t>
      </w:r>
      <w:r>
        <w:rPr>
          <w:rStyle w:val="FootnoteReference"/>
        </w:rPr>
        <w:footnoteReference w:id="45"/>
      </w:r>
      <w:r>
        <w:t xml:space="preserve"> </w:t>
      </w:r>
      <w:r>
        <w:t xml:space="preserve">Liquidity concentrated on one venue per currency pair.</w:t>
      </w:r>
      <w:r>
        <w:rPr>
          <w:rStyle w:val="FootnoteReference"/>
        </w:rPr>
        <w:footnoteReference w:id="46"/>
      </w:r>
    </w:p>
    <w:p>
      <w:pPr>
        <w:pStyle w:val="BodyText"/>
      </w:pPr>
      <w:r>
        <w:t xml:space="preserve">Two limits follow. These venues did not join dealers who would otherwise never have met; dealers kept trading directly. They are not deferred thirds of the</w:t>
      </w:r>
      <w:r>
        <w:t xml:space="preserve"> </w:t>
      </w:r>
      <w:r>
        <w:rPr>
          <w:i/>
          <w:iCs/>
        </w:rPr>
        <w:t xml:space="preserve">Slacker</w:t>
      </w:r>
      <w:r>
        <w:t xml:space="preserve"> </w:t>
      </w:r>
      <w:r>
        <w:t xml:space="preserve">kind. And the power to withhold a reason comes from rules around the venue, not from standing between parties. The same firm runs matching under three regimes: a CFTC venue that owes written reasons and reconsideration; an FCA venue that may act in the operator’s</w:t>
      </w:r>
      <w:r>
        <w:t xml:space="preserve"> </w:t>
      </w:r>
      <w:r>
        <w:t xml:space="preserve">“sole discretion”</w:t>
      </w:r>
      <w:r>
        <w:t xml:space="preserve">; an unregulated service with no reasons, review, or appeal.</w:t>
      </w:r>
      <w:r>
        <w:rPr>
          <w:rStyle w:val="FootnoteReference"/>
        </w:rPr>
        <w:footnoteReference w:id="47"/>
      </w:r>
      <w:r>
        <w:t xml:space="preserve"> </w:t>
      </w:r>
      <w:r>
        <w:t xml:space="preserve">A doorman who states a reason differs from a licensing page that will not because their rules differ. The four powers are optional attachments to a deferred third. Digital platforms optimize those attachments; they do not invent the underlying form.</w:t>
      </w:r>
    </w:p>
    <w:bookmarkEnd w:id="48"/>
    <w:bookmarkStart w:id="50" w:name="aware-and-unaware"/>
    <w:p>
      <w:pPr>
        <w:pStyle w:val="Heading2"/>
      </w:pPr>
      <w:r>
        <w:t xml:space="preserve">9. Aware and unaware</w:t>
      </w:r>
    </w:p>
    <w:p>
      <w:pPr>
        <w:pStyle w:val="FirstParagraph"/>
      </w:pPr>
      <w:r>
        <w:rPr>
          <w:i/>
          <w:iCs/>
        </w:rPr>
        <w:t xml:space="preserve">Slacker</w:t>
      </w:r>
      <w:r>
        <w:t xml:space="preserve"> </w:t>
      </w:r>
      <w:r>
        <w:t xml:space="preserve">does not announce platforms. No one in 1990 Austin was describing dispatch queues. The film explores the platform form anyway — through people, a slack city, and a camera — because the predicates were already available and the ecology was already there.</w:t>
      </w:r>
    </w:p>
    <w:p>
      <w:pPr>
        <w:pStyle w:val="BodyText"/>
      </w:pPr>
      <w:r>
        <w:t xml:space="preserve">Temporally the literature runs Simmel (1908), Royce (1913), Reich (1964), then Stark and Pais (2020). The first three were on hand when the film was made; co-optation is the later name for the coordinating verb the footage already stages. Austin supplied the ecology; the cut sequenced strangers without explaining the handoff. Digital platforms later gather reach, selection, record-keeping, the four powers, and co-optive enrollment into one apparatus.</w:t>
      </w:r>
      <w:r>
        <w:t xml:space="preserve"> </w:t>
      </w:r>
      <w:r>
        <w:rPr>
          <w:i/>
          <w:iCs/>
        </w:rPr>
        <w:t xml:space="preserve">Slacker</w:t>
      </w:r>
      <w:r>
        <w:t xml:space="preserve"> </w:t>
      </w:r>
      <w:r>
        <w:t xml:space="preserve">does not predict those relationships. It stages unfinished versions of them; the parallels with later platforms matter because no one making the film could have known they were recording them.</w:t>
      </w:r>
    </w:p>
    <w:p>
      <w:pPr>
        <w:pStyle w:val="BodyText"/>
      </w:pPr>
      <w:r>
        <w:t xml:space="preserve">The film states its coordination problem in its own materials: parallel lives from a taxi, a man who cannot rewind what he saw, a stamp shown on a wrist, a doorman who says why he is clearing the room. It does not treat pricing, evaluation, removal, and withheld reasons as one system. It shows each as one person’s decision at one door, so characters can still argue each decision. The film knows coordination as a practical problem people can speak about. It does not yet know those four powers gathered into one impersonal apparatus. Aware and unaware name that split: the cognitive space is being explored; the optimized system is not yet named.</w:t>
      </w:r>
    </w:p>
    <w:p>
      <w:pPr>
        <w:pStyle w:val="BodyText"/>
      </w:pPr>
      <w:r>
        <w:t xml:space="preserve">The thesis needs algorithmacy for one claim the form alone cannot make: that</w:t>
      </w:r>
      <w:r>
        <w:t xml:space="preserve"> </w:t>
      </w:r>
      <w:r>
        <w:rPr>
          <w:i/>
          <w:iCs/>
        </w:rPr>
        <w:t xml:space="preserve">Slacker</w:t>
      </w:r>
      <w:r>
        <w:t xml:space="preserve"> </w:t>
      </w:r>
      <w:r>
        <w:t xml:space="preserve">records a literacy lag, not only a coordinating shape. Algorithmacy is fluency in coordinating through an algorithmic third that interprets both sides and issues determinations neither side controls.</w:t>
      </w:r>
      <w:r>
        <w:rPr>
          <w:rStyle w:val="FootnoteReference"/>
        </w:rPr>
        <w:footnoteReference w:id="49"/>
      </w:r>
      <w:r>
        <w:t xml:space="preserve"> </w:t>
      </w:r>
      <w:r>
        <w:t xml:space="preserve">Fluency followed writing at a lag;</w:t>
      </w:r>
      <w:r>
        <w:t xml:space="preserve"> </w:t>
      </w:r>
      <w:r>
        <w:rPr>
          <w:i/>
          <w:iCs/>
        </w:rPr>
        <w:t xml:space="preserve">Slacker</w:t>
      </w:r>
      <w:r>
        <w:t xml:space="preserve"> </w:t>
      </w:r>
      <w:r>
        <w:t xml:space="preserve">is an early scene in that lag for platforms. People on screen still handle thirds that can be spoken — a cover named aloud, a stamp demonstrated, a list spelled to the person holding it. The camera already works more like a feed. A contemporary scroll — loosely connected units, sequence decided elsewhere — is a vestige of what the film was already doing with a city and a cut.</w:t>
      </w:r>
    </w:p>
    <w:p>
      <w:pPr>
        <w:pStyle w:val="BodyText"/>
      </w:pPr>
      <w:r>
        <w:t xml:space="preserve">At the last door the rule is spoken: past two o’clock, everybody out, you gotta be somewhere, you can’t be here. The room empties into the street where people keep talking.</w:t>
      </w:r>
    </w:p>
    <w:bookmarkEnd w:id="50"/>
    <w:bookmarkStart w:id="51" w:name="bibliography"/>
    <w:p>
      <w:pPr>
        <w:pStyle w:val="Heading2"/>
      </w:pPr>
      <w:r>
        <w:t xml:space="preserve">Bibliography</w:t>
      </w:r>
    </w:p>
    <w:p>
      <w:pPr>
        <w:pStyle w:val="FirstParagraph"/>
        <w:spacing w:line="480" w:lineRule="auto"/>
        <w:ind w:hanging="720" w:left="720"/>
      </w:pPr>
      <w:r>
        <w:t xml:space="preserve">Amazon.com, Inc. </w:t>
      </w:r>
      <w:r>
        <w:t xml:space="preserve">“Prime Video Direct Content Providers: Licensing Consideration and Title Review.”</w:t>
      </w:r>
      <w:r>
        <w:t xml:space="preserve"> </w:t>
      </w:r>
      <w:r>
        <w:t xml:space="preserve">Prime Video Tech Docs. Last updated August 5, 2025. Accessed August 1, 2026.</w:t>
      </w:r>
    </w:p>
    <w:p>
      <w:pPr>
        <w:pStyle w:val="BodyText"/>
        <w:spacing w:line="480" w:lineRule="auto"/>
        <w:ind w:hanging="720" w:left="720"/>
      </w:pPr>
      <w:r>
        <w:t xml:space="preserve">Bank for International Settlements.</w:t>
      </w:r>
      <w:r>
        <w:t xml:space="preserve"> </w:t>
      </w:r>
      <w:r>
        <w:rPr>
          <w:i/>
          <w:iCs/>
        </w:rPr>
        <w:t xml:space="preserve">Quarterly Review</w:t>
      </w:r>
      <w:r>
        <w:t xml:space="preserve">. Basel: BIS, December 2019.</w:t>
      </w:r>
    </w:p>
    <w:p>
      <w:pPr>
        <w:pStyle w:val="BodyText"/>
        <w:spacing w:line="480" w:lineRule="auto"/>
        <w:ind w:hanging="720" w:left="720"/>
      </w:pPr>
      <w:r>
        <w:t xml:space="preserve">Busch, Andrew M.</w:t>
      </w:r>
      <w:r>
        <w:t xml:space="preserve"> </w:t>
      </w:r>
      <w:r>
        <w:t xml:space="preserve">“Whose</w:t>
      </w:r>
      <w:r>
        <w:t xml:space="preserve"> </w:t>
      </w:r>
      <w:r>
        <w:t xml:space="preserve">‘Sense of Place’</w:t>
      </w:r>
      <w:r>
        <w:t xml:space="preserve">? Topophilia, the Grassroots, and Urbanization in Austin, Texas.”</w:t>
      </w:r>
      <w:r>
        <w:t xml:space="preserve"> </w:t>
      </w:r>
      <w:r>
        <w:rPr>
          <w:i/>
          <w:iCs/>
        </w:rPr>
        <w:t xml:space="preserve">American Quarterly</w:t>
      </w:r>
      <w:r>
        <w:t xml:space="preserve"> </w:t>
      </w:r>
      <w:r>
        <w:t xml:space="preserve">63, no. 2 (2011): 399–408.</w:t>
      </w:r>
    </w:p>
    <w:p>
      <w:pPr>
        <w:pStyle w:val="BodyText"/>
        <w:spacing w:line="480" w:lineRule="auto"/>
        <w:ind w:hanging="720" w:left="720"/>
      </w:pPr>
      <w:r>
        <w:t xml:space="preserve">Erickson, Mary P.</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edited by Kim Wilkins and Timotheus Vermeulen, 15–33. Edinburgh: Edinburgh University Press, 2022.</w:t>
      </w:r>
    </w:p>
    <w:p>
      <w:pPr>
        <w:pStyle w:val="BodyText"/>
        <w:spacing w:line="480" w:lineRule="auto"/>
        <w:ind w:hanging="720" w:left="720"/>
      </w:pPr>
      <w:r>
        <w:t xml:space="preserve">Foreign Exchange Committee, Federal Reserve Bank of New York.</w:t>
      </w:r>
      <w:r>
        <w:t xml:space="preserve"> </w:t>
      </w:r>
      <w:r>
        <w:rPr>
          <w:i/>
          <w:iCs/>
        </w:rPr>
        <w:t xml:space="preserve">Annual Report 1991</w:t>
      </w:r>
      <w:r>
        <w:t xml:space="preserve">. New York: Federal Reserve Bank of New York, 1992.</w:t>
      </w:r>
    </w:p>
    <w:p>
      <w:pPr>
        <w:pStyle w:val="BodyText"/>
        <w:spacing w:line="480" w:lineRule="auto"/>
        <w:ind w:hanging="720" w:left="720"/>
      </w:pPr>
      <w:r>
        <w:t xml:space="preserve">Global Foreign Exchange Committee.</w:t>
      </w:r>
      <w:r>
        <w:t xml:space="preserve"> </w:t>
      </w:r>
      <w:r>
        <w:rPr>
          <w:i/>
          <w:iCs/>
        </w:rPr>
        <w:t xml:space="preserve">FX Global Code</w:t>
      </w:r>
      <w:r>
        <w:t xml:space="preserve">. Updated December 2024.</w:t>
      </w:r>
    </w:p>
    <w:p>
      <w:pPr>
        <w:pStyle w:val="BodyText"/>
        <w:spacing w:line="480" w:lineRule="auto"/>
        <w:ind w:hanging="720" w:left="720"/>
      </w:pPr>
      <w:r>
        <w:t xml:space="preserve">Long, Joshua.</w:t>
      </w:r>
      <w:r>
        <w:t xml:space="preserve"> </w:t>
      </w:r>
      <w:r>
        <w:rPr>
          <w:i/>
          <w:iCs/>
        </w:rPr>
        <w:t xml:space="preserve">Weird City: Sense of Place and Creative Resistance in Austin, Texas</w:t>
      </w:r>
      <w:r>
        <w:t xml:space="preserve">. Austin: University of Texas Press, 2010.</w:t>
      </w:r>
    </w:p>
    <w:p>
      <w:pPr>
        <w:pStyle w:val="BodyText"/>
        <w:spacing w:line="480" w:lineRule="auto"/>
        <w:ind w:hanging="720" w:left="720"/>
      </w:pPr>
      <w:r>
        <w:t xml:space="preserve">LSEG.</w:t>
      </w:r>
      <w:r>
        <w:t xml:space="preserve"> </w:t>
      </w:r>
      <w:r>
        <w:rPr>
          <w:i/>
          <w:iCs/>
        </w:rPr>
        <w:t xml:space="preserve">LSEG FX SEF Rulebook</w:t>
      </w:r>
      <w:r>
        <w:t xml:space="preserve">. Version 4.1, effective August 11, 2026.</w:t>
      </w:r>
    </w:p>
    <w:p>
      <w:pPr>
        <w:pStyle w:val="BodyText"/>
        <w:spacing w:line="480" w:lineRule="auto"/>
        <w:ind w:hanging="720" w:left="720"/>
      </w:pPr>
      <w:r>
        <w:t xml:space="preserve">———.</w:t>
      </w:r>
      <w:r>
        <w:t xml:space="preserve"> </w:t>
      </w:r>
      <w:r>
        <w:rPr>
          <w:i/>
          <w:iCs/>
        </w:rPr>
        <w:t xml:space="preserve">LSEG FX UK MTF Rule Book</w:t>
      </w:r>
      <w:r>
        <w:t xml:space="preserve">. Version 1.2, effective December 1, 2025.</w:t>
      </w:r>
    </w:p>
    <w:p>
      <w:pPr>
        <w:pStyle w:val="BodyText"/>
        <w:spacing w:line="480" w:lineRule="auto"/>
        <w:ind w:hanging="720" w:left="720"/>
      </w:pPr>
      <w:r>
        <w:t xml:space="preserve">Reich, Charles A.</w:t>
      </w:r>
      <w:r>
        <w:t xml:space="preserve"> </w:t>
      </w:r>
      <w:r>
        <w:t xml:space="preserve">“The New Property.”</w:t>
      </w:r>
      <w:r>
        <w:t xml:space="preserve"> </w:t>
      </w:r>
      <w:r>
        <w:rPr>
          <w:i/>
          <w:iCs/>
        </w:rPr>
        <w:t xml:space="preserve">The Yale Law Journal</w:t>
      </w:r>
      <w:r>
        <w:t xml:space="preserve"> </w:t>
      </w:r>
      <w:r>
        <w:t xml:space="preserve">73, no. 5 (1964): 733–787.</w:t>
      </w:r>
    </w:p>
    <w:p>
      <w:pPr>
        <w:pStyle w:val="BodyText"/>
        <w:spacing w:line="480" w:lineRule="auto"/>
        <w:ind w:hanging="720" w:left="720"/>
      </w:pPr>
      <w:r>
        <w:t xml:space="preserve">Rideshare Drivers United and Asian Law Caucus.</w:t>
      </w:r>
      <w:r>
        <w:t xml:space="preserve"> </w:t>
      </w:r>
      <w:r>
        <w:rPr>
          <w:i/>
          <w:iCs/>
        </w:rPr>
        <w:t xml:space="preserve">Fired by an App: The Toll of Secret Algorithms and Unchecked Discrimination on California Rideshare Drivers</w:t>
      </w:r>
      <w:r>
        <w:t xml:space="preserve">. February 2023.</w:t>
      </w:r>
    </w:p>
    <w:p>
      <w:pPr>
        <w:pStyle w:val="BodyText"/>
        <w:spacing w:line="480" w:lineRule="auto"/>
        <w:ind w:hanging="720" w:left="720"/>
      </w:pPr>
      <w:r>
        <w:t xml:space="preserve">Royce, Josiah.</w:t>
      </w:r>
      <w:r>
        <w:t xml:space="preserve"> </w:t>
      </w:r>
      <w:r>
        <w:rPr>
          <w:i/>
          <w:iCs/>
        </w:rPr>
        <w:t xml:space="preserve">The Problem of Christianity</w:t>
      </w:r>
      <w:r>
        <w:t xml:space="preserve">. 2 vols. New York: Macmillan, 1913. Reprinted in one volume, Chicago: University of Chicago Press, 1968.</w:t>
      </w:r>
    </w:p>
    <w:p>
      <w:pPr>
        <w:pStyle w:val="BodyText"/>
        <w:spacing w:line="480" w:lineRule="auto"/>
        <w:ind w:hanging="720" w:left="720"/>
      </w:pPr>
      <w:r>
        <w:t xml:space="preserve">Simmel, Georg.</w:t>
      </w:r>
      <w:r>
        <w:t xml:space="preserve"> </w:t>
      </w:r>
      <w:r>
        <w:rPr>
          <w:i/>
          <w:iCs/>
        </w:rPr>
        <w:t xml:space="preserve">The Sociology of Georg Simmel</w:t>
      </w:r>
      <w:r>
        <w:t xml:space="preserve">. Translated and edited by Kurt H. Wolff. Glencoe, IL: The Free Press, 1950. Originally published as</w:t>
      </w:r>
      <w:r>
        <w:t xml:space="preserve"> </w:t>
      </w:r>
      <w:r>
        <w:rPr>
          <w:i/>
          <w:iCs/>
        </w:rPr>
        <w:t xml:space="preserve">Soziologie</w:t>
      </w:r>
      <w:r>
        <w:t xml:space="preserve"> </w:t>
      </w:r>
      <w:r>
        <w:t xml:space="preserve">(Leipzig: Duncker &amp; Humblot, 1908).</w:t>
      </w:r>
    </w:p>
    <w:p>
      <w:pPr>
        <w:pStyle w:val="BodyText"/>
        <w:spacing w:line="480" w:lineRule="auto"/>
        <w:ind w:hanging="720" w:left="720"/>
      </w:pPr>
      <w:r>
        <w:t xml:space="preserve">Stark, David, and Ivana Pais.</w:t>
      </w:r>
      <w:r>
        <w:t xml:space="preserve"> </w:t>
      </w:r>
      <w:r>
        <w:t xml:space="preserve">“Algorithmic Management in the Platform Economy.”</w:t>
      </w:r>
      <w:r>
        <w:t xml:space="preserve"> </w:t>
      </w:r>
      <w:r>
        <w:rPr>
          <w:i/>
          <w:iCs/>
        </w:rPr>
        <w:t xml:space="preserve">Sociologica</w:t>
      </w:r>
      <w:r>
        <w:t xml:space="preserve"> </w:t>
      </w:r>
      <w:r>
        <w:t xml:space="preserve">14, no. 3 (2020): 47–72.</w:t>
      </w:r>
    </w:p>
    <w:p>
      <w:pPr>
        <w:pStyle w:val="BodyText"/>
        <w:spacing w:line="480" w:lineRule="auto"/>
        <w:ind w:hanging="720" w:left="720"/>
      </w:pPr>
      <w:r>
        <w:t xml:space="preserve">U.S. Bureau of the Census.</w:t>
      </w:r>
      <w:r>
        <w:t xml:space="preserve"> </w:t>
      </w:r>
      <w:r>
        <w:rPr>
          <w:i/>
          <w:iCs/>
        </w:rPr>
        <w:t xml:space="preserve">1990 Census of Housing, General Housing Characteristics: Texas</w:t>
      </w:r>
      <w:r>
        <w:t xml:space="preserve">. 1990 CH-1-45. Washington, DC: GPO, 1991.</w:t>
      </w:r>
    </w:p>
    <w:p>
      <w:pPr>
        <w:pStyle w:val="BodyText"/>
        <w:spacing w:line="480" w:lineRule="auto"/>
        <w:ind w:hanging="720" w:left="720"/>
      </w:pPr>
      <w:r>
        <w:t xml:space="preserve">———.</w:t>
      </w:r>
      <w:r>
        <w:t xml:space="preserve"> </w:t>
      </w:r>
      <w:r>
        <w:rPr>
          <w:i/>
          <w:iCs/>
        </w:rPr>
        <w:t xml:space="preserve">1990 Census of Population and Housing, Population and Housing Unit Counts: Texas</w:t>
      </w:r>
      <w:r>
        <w:t xml:space="preserve">. 1990 CPH-2-45. Washington, DC: GPO, 1993.</w:t>
      </w:r>
    </w:p>
    <w:p>
      <w:pPr>
        <w:pStyle w:val="BodyText"/>
        <w:spacing w:line="480" w:lineRule="auto"/>
        <w:ind w:hanging="720" w:left="720"/>
      </w:pPr>
      <w:r>
        <w:t xml:space="preserve">U.S. Department of Education, National Center for Education Statistics. IPEDS Fall Enrollment 1989, file EF1989_A.</w:t>
      </w:r>
    </w:p>
    <w:bookmarkEnd w:id="51"/>
    <w:bookmarkEnd w:id="5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David Stark and Ivana Pais,</w:t>
      </w:r>
      <w:r>
        <w:t xml:space="preserve"> </w:t>
      </w:r>
      <w:r>
        <w:t xml:space="preserve">“Algorithmic Management in the Platform Economy,”</w:t>
      </w:r>
      <w:r>
        <w:t xml:space="preserve"> </w:t>
      </w:r>
      <w:r>
        <w:rPr>
          <w:i/>
          <w:iCs/>
        </w:rPr>
        <w:t xml:space="preserve">Sociologica</w:t>
      </w:r>
      <w:r>
        <w:t xml:space="preserve"> </w:t>
      </w:r>
      <w:r>
        <w:t xml:space="preserve">14, no. 3 (2020): 47–72, at 48 and 49:</w:t>
      </w:r>
      <w:r>
        <w:t xml:space="preserve"> </w:t>
      </w:r>
      <w:r>
        <w:t xml:space="preserve">“whereas for markets the verb is contract, the verb for hierarchy is command, and for networks it is collaborate. By contrast, platforms co-opt,”</w:t>
      </w:r>
      <w:r>
        <w:t xml:space="preserve"> </w:t>
      </w:r>
      <w:r>
        <w:t xml:space="preserve">and</w:t>
      </w:r>
      <w:r>
        <w:t xml:space="preserve"> </w:t>
      </w:r>
      <w:r>
        <w:t xml:space="preserve">“platform owners co-opt the behavior of providers and users, enrolling them in the practices of algorithmic management without managerial authority having been delegated to them.”</w:t>
      </w:r>
    </w:p>
  </w:footnote>
  <w:footnote w:id="11">
    <w:p>
      <w:pPr>
        <w:pStyle w:val="FootnoteText"/>
      </w:pPr>
      <w:r>
        <w:rPr>
          <w:rStyle w:val="FootnoteReference"/>
        </w:rPr>
        <w:footnoteRef/>
      </w:r>
      <w:r>
        <w:t xml:space="preserve"> </w:t>
      </w:r>
      <w:r>
        <w:t xml:space="preserve">Georg Simmel,</w:t>
      </w:r>
      <w:r>
        <w:t xml:space="preserve"> </w:t>
      </w:r>
      <w:r>
        <w:rPr>
          <w:i/>
          <w:iCs/>
        </w:rPr>
        <w:t xml:space="preserve">The Sociology of Georg Simmel</w:t>
      </w:r>
      <w:r>
        <w:t xml:space="preserve">, trans. and ed. Kurt H. Wolff (Glencoe, IL: The Free Press, 1950).</w:t>
      </w:r>
      <w:r>
        <w:t xml:space="preserve"> </w:t>
      </w:r>
      <w:r>
        <w:t xml:space="preserve">“The Triad”</w:t>
      </w:r>
      <w:r>
        <w:t xml:space="preserve"> </w:t>
      </w:r>
      <w:r>
        <w:t xml:space="preserve">is chapter IV, 145–169: the non-partisan and the mediator at 145–47, the</w:t>
      </w:r>
      <w:r>
        <w:t xml:space="preserve"> </w:t>
      </w:r>
      <w:r>
        <w:rPr>
          <w:i/>
          <w:iCs/>
        </w:rPr>
        <w:t xml:space="preserve">tertius gaudens</w:t>
      </w:r>
      <w:r>
        <w:t xml:space="preserve"> </w:t>
      </w:r>
      <w:r>
        <w:t xml:space="preserve">at 154–62,</w:t>
      </w:r>
      <w:r>
        <w:t xml:space="preserve"> </w:t>
      </w:r>
      <w:r>
        <w:rPr>
          <w:i/>
          <w:iCs/>
        </w:rPr>
        <w:t xml:space="preserve">divide et impera</w:t>
      </w:r>
      <w:r>
        <w:t xml:space="preserve"> </w:t>
      </w:r>
      <w:r>
        <w:t xml:space="preserve">at 162, with the prohibition example at 163–64.</w:t>
      </w:r>
    </w:p>
  </w:footnote>
  <w:footnote w:id="12">
    <w:p>
      <w:pPr>
        <w:pStyle w:val="FootnoteText"/>
      </w:pPr>
      <w:r>
        <w:rPr>
          <w:rStyle w:val="FootnoteReference"/>
        </w:rPr>
        <w:footnoteRef/>
      </w:r>
      <w:r>
        <w:t xml:space="preserve"> </w:t>
      </w:r>
      <w:r>
        <w:t xml:space="preserve">Simmel,</w:t>
      </w:r>
      <w:r>
        <w:t xml:space="preserve"> </w:t>
      </w:r>
      <w:r>
        <w:rPr>
          <w:i/>
          <w:iCs/>
        </w:rPr>
        <w:t xml:space="preserve">Sociology</w:t>
      </w:r>
      <w:r>
        <w:t xml:space="preserve">, 145. The English wording is Wolff’s and I have not been able to verify it against a copy of his translation; the passage is confirmed verbatim against the German original,</w:t>
      </w:r>
      <w:r>
        <w:t xml:space="preserve"> </w:t>
      </w:r>
      <w:r>
        <w:rPr>
          <w:i/>
          <w:iCs/>
        </w:rPr>
        <w:t xml:space="preserve">Soziologie</w:t>
      </w:r>
      <w:r>
        <w:t xml:space="preserve"> </w:t>
      </w:r>
      <w:r>
        <w:t xml:space="preserve">(Leipzig: Duncker &amp; Humblot, 1908), chap. 2, p. 103, where the deferral reads</w:t>
      </w:r>
      <w:r>
        <w:t xml:space="preserve"> </w:t>
      </w:r>
      <w:r>
        <w:t xml:space="preserve">“Diese gesellschaftsbildende Vermittlung eines dritten Elementes ist indes in späterem Zusammenhang zu behandeln.”</w:t>
      </w:r>
      <w:r>
        <w:t xml:space="preserve"> </w:t>
      </w:r>
      <w:r>
        <w:rPr>
          <w:i/>
          <w:iCs/>
        </w:rPr>
        <w:t xml:space="preserve">Behandeln</w:t>
      </w:r>
      <w:r>
        <w:t xml:space="preserve"> </w:t>
      </w:r>
      <w:r>
        <w:t xml:space="preserve">is still-to-be-treated, not dismissed. Simmel’s stated reason for setting the case aside is the distance between the third element and the other two, and the absence of properly sociological interactions among all three alike.</w:t>
      </w:r>
    </w:p>
  </w:footnote>
  <w:footnote w:id="13">
    <w:p>
      <w:pPr>
        <w:pStyle w:val="FootnoteText"/>
      </w:pPr>
      <w:r>
        <w:rPr>
          <w:rStyle w:val="FootnoteReference"/>
        </w:rPr>
        <w:footnoteRef/>
      </w:r>
      <w:r>
        <w:t xml:space="preserve"> </w:t>
      </w:r>
      <w:r>
        <w:t xml:space="preserve">Dialogue throughout this chapter is quoted from the film’s subtitle track, via a subtitle-derived transcript carrying dialogue only and no speaker names. Subtitles compress and paraphrase, and no quotation here has yet been confirmed against the Criterion disc; six candidate lines whose wording or placement the project’s records dispute are withheld from quotation entirely. Segment numbers follow my division of the film into thirty-five segments, thirty-four of which carry dialogue.</w:t>
      </w:r>
      <w:r>
        <w:t xml:space="preserve"> </w:t>
      </w:r>
      <w:r>
        <w:rPr>
          <w:i/>
          <w:iCs/>
        </w:rPr>
        <w:t xml:space="preserve">Slacker</w:t>
      </w:r>
      <w:r>
        <w:t xml:space="preserve">, directed by Richard Linklater (Austin, TX: Detour Filmproduction, 1990; distributed by Orion Classics, 1991).</w:t>
      </w:r>
    </w:p>
  </w:footnote>
  <w:footnote w:id="15">
    <w:p>
      <w:pPr>
        <w:pStyle w:val="FootnoteText"/>
      </w:pPr>
      <w:r>
        <w:rPr>
          <w:rStyle w:val="FootnoteReference"/>
        </w:rPr>
        <w:footnoteRef/>
      </w:r>
      <w:r>
        <w:t xml:space="preserve"> </w:t>
      </w:r>
      <w:r>
        <w:t xml:space="preserve">Josiah Royce,</w:t>
      </w:r>
      <w:r>
        <w:t xml:space="preserve"> </w:t>
      </w:r>
      <w:r>
        <w:rPr>
          <w:i/>
          <w:iCs/>
        </w:rPr>
        <w:t xml:space="preserve">The Problem of Christianity</w:t>
      </w:r>
      <w:r>
        <w:t xml:space="preserve"> </w:t>
      </w:r>
      <w:r>
        <w:t xml:space="preserve">(New York: Macmillan, 1913), 2:50 for the community of memory and 2:51 for the community of expectation; in the one-volume reset (Chicago: University of Chicago Press, 1968), 248 for both. Royce’s three constituting conditions are at 2:60–61, 2:67, and 2:68 (1968: 253, 255, 256).</w:t>
      </w:r>
    </w:p>
  </w:footnote>
  <w:footnote w:id="16">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2:46 (1968: 247).</w:t>
      </w:r>
    </w:p>
  </w:footnote>
  <w:footnote w:id="17">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2:140 (1968: 286). The three terms are named at 2:142 (1968: 287): the interpreter, the object interpreted, and the person addressed. Royce credits the thesis to Peirce on the page.</w:t>
      </w:r>
    </w:p>
  </w:footnote>
  <w:footnote w:id="18">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2:124 (1968: 279); the flat statement of the same point is at 2:188 (1968: 306).</w:t>
      </w:r>
    </w:p>
  </w:footnote>
  <w:footnote w:id="19">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2:67 (1968: 255), which requires</w:t>
      </w:r>
      <w:r>
        <w:t xml:space="preserve"> </w:t>
      </w:r>
      <w:r>
        <w:t xml:space="preserve">“distinct selves capable of social communication, and, in general, engaged in communication.”</w:t>
      </w:r>
      <w:r>
        <w:t xml:space="preserve"> </w:t>
      </w:r>
      <w:r>
        <w:t xml:space="preserve">Royce also frames membership as holding among contemporaries (2:44, 2:49); the dead are commemorated and the commemorators are the members.</w:t>
      </w:r>
    </w:p>
  </w:footnote>
  <w:footnote w:id="20">
    <w:p>
      <w:pPr>
        <w:pStyle w:val="FootnoteText"/>
      </w:pPr>
      <w:r>
        <w:rPr>
          <w:rStyle w:val="FootnoteReference"/>
        </w:rPr>
        <w:footnoteRef/>
      </w:r>
      <w:r>
        <w:t xml:space="preserve"> </w:t>
      </w:r>
      <w:r>
        <w:t xml:space="preserve">Royce,</w:t>
      </w:r>
      <w:r>
        <w:t xml:space="preserve"> </w:t>
      </w:r>
      <w:r>
        <w:rPr>
          <w:i/>
          <w:iCs/>
        </w:rPr>
        <w:t xml:space="preserve">Problem of Christianity</w:t>
      </w:r>
      <w:r>
        <w:t xml:space="preserve">, 2:148–49 (1968: 289), and 2:211 (1968: 315), where all three terms of the Community of Interpretation are selves. Royce’s Colorado Canyon passage, which comes closest to an impersonal interpreter, is subjunctive throughout.</w:t>
      </w:r>
    </w:p>
  </w:footnote>
  <w:footnote w:id="22">
    <w:p>
      <w:pPr>
        <w:pStyle w:val="FootnoteText"/>
      </w:pPr>
      <w:r>
        <w:rPr>
          <w:rStyle w:val="FootnoteReference"/>
        </w:rPr>
        <w:footnoteRef/>
      </w:r>
      <w:r>
        <w:t xml:space="preserve"> </w:t>
      </w:r>
      <w:r>
        <w:t xml:space="preserve">Two coders worked all thirty-five segments from the transcript without sight of each other’s sheets, coding each for its relation to paid work and for any attempt to convert something into money. Agreement was 34/35 on the first dimension (Cohen’s κ = 0.96) and 33/35 on the second (κ = 0.91), with all three disagreements preserved rather than reconciled. Both coders returned identical segment lists for every figure cited here. The full tables, the coding scheme, and the prediction as it was recorded before the count are available from the author. The transcript is subtitle-derived, so this is a census of what can be heard and not of what the film shows.</w:t>
      </w:r>
    </w:p>
  </w:footnote>
  <w:footnote w:id="23">
    <w:p>
      <w:pPr>
        <w:pStyle w:val="FootnoteText"/>
      </w:pPr>
      <w:r>
        <w:rPr>
          <w:rStyle w:val="FootnoteReference"/>
        </w:rPr>
        <w:footnoteRef/>
      </w:r>
      <w:r>
        <w:t xml:space="preserve"> </w:t>
      </w:r>
      <w:r>
        <w:t xml:space="preserve">U.S. Bureau of the Census,</w:t>
      </w:r>
      <w:r>
        <w:t xml:space="preserve"> </w:t>
      </w:r>
      <w:r>
        <w:rPr>
          <w:i/>
          <w:iCs/>
        </w:rPr>
        <w:t xml:space="preserve">1990 Census of Population and Housing, Population and Housing Unit Counts: Texas</w:t>
      </w:r>
      <w:r>
        <w:t xml:space="preserve">, 1990 CPH-2-45, Table 9. The city’s boundaries changed over the decade. Household size fell nationally through the 1980s, which produces a gap of this kind with no surplus, so the figure is offered as context rather than as evidence of overbuilding.</w:t>
      </w:r>
    </w:p>
  </w:footnote>
  <w:footnote w:id="24">
    <w:p>
      <w:pPr>
        <w:pStyle w:val="FootnoteText"/>
      </w:pPr>
      <w:r>
        <w:rPr>
          <w:rStyle w:val="FootnoteReference"/>
        </w:rPr>
        <w:footnoteRef/>
      </w:r>
      <w:r>
        <w:t xml:space="preserve"> </w:t>
      </w:r>
      <w:r>
        <w:t xml:space="preserve">Real Estate Center, Texas A&amp;M University,</w:t>
      </w:r>
      <w:r>
        <w:t xml:space="preserve"> </w:t>
      </w:r>
      <w:r>
        <w:rPr>
          <w:i/>
          <w:iCs/>
        </w:rPr>
        <w:t xml:space="preserve">Texas Real Estate Center Trends</w:t>
      </w:r>
      <w:r>
        <w:t xml:space="preserve"> </w:t>
      </w:r>
      <w:r>
        <w:t xml:space="preserve">3, no. 8 (April 1990), Table 1.</w:t>
      </w:r>
    </w:p>
  </w:footnote>
  <w:footnote w:id="25">
    <w:p>
      <w:pPr>
        <w:pStyle w:val="FootnoteText"/>
      </w:pPr>
      <w:r>
        <w:rPr>
          <w:rStyle w:val="FootnoteReference"/>
        </w:rPr>
        <w:footnoteRef/>
      </w:r>
      <w:r>
        <w:t xml:space="preserve"> </w:t>
      </w:r>
      <w:r>
        <w:t xml:space="preserve">U.S. Bureau of the Census,</w:t>
      </w:r>
      <w:r>
        <w:t xml:space="preserve"> </w:t>
      </w:r>
      <w:r>
        <w:rPr>
          <w:i/>
          <w:iCs/>
        </w:rPr>
        <w:t xml:space="preserve">1990 Census of Housing, General Housing Characteristics: Texas</w:t>
      </w:r>
      <w:r>
        <w:t xml:space="preserve">, 1990 CH-1-45, sec. 1, Table 1; U.S. Department of Education, NCES, IPEDS Fall Enrollment 1989, file EF1989_A, UNITID 228778.</w:t>
      </w:r>
    </w:p>
  </w:footnote>
  <w:footnote w:id="26">
    <w:p>
      <w:pPr>
        <w:pStyle w:val="FootnoteText"/>
      </w:pPr>
      <w:r>
        <w:rPr>
          <w:rStyle w:val="FootnoteReference"/>
        </w:rPr>
        <w:footnoteRef/>
      </w:r>
      <w:r>
        <w:t xml:space="preserve"> </w:t>
      </w:r>
      <w:r>
        <w:t xml:space="preserve">Census,</w:t>
      </w:r>
      <w:r>
        <w:t xml:space="preserve"> </w:t>
      </w:r>
      <w:r>
        <w:rPr>
          <w:i/>
          <w:iCs/>
        </w:rPr>
        <w:t xml:space="preserve">General Housing Characteristics: Texas</w:t>
      </w:r>
      <w:r>
        <w:t xml:space="preserve">, 1990 CH-1-45, sec. 1, Table 1.</w:t>
      </w:r>
    </w:p>
  </w:footnote>
  <w:footnote w:id="27">
    <w:p>
      <w:pPr>
        <w:pStyle w:val="FootnoteText"/>
      </w:pPr>
      <w:r>
        <w:rPr>
          <w:rStyle w:val="FootnoteReference"/>
        </w:rPr>
        <w:footnoteRef/>
      </w:r>
      <w:r>
        <w:t xml:space="preserve"> </w:t>
      </w:r>
      <w:r>
        <w:rPr>
          <w:i/>
          <w:iCs/>
        </w:rPr>
        <w:t xml:space="preserve">New York Times</w:t>
      </w:r>
      <w:r>
        <w:t xml:space="preserve">, 7 August 1991.</w:t>
      </w:r>
    </w:p>
  </w:footnote>
  <w:footnote w:id="28">
    <w:p>
      <w:pPr>
        <w:pStyle w:val="FootnoteText"/>
      </w:pPr>
      <w:r>
        <w:rPr>
          <w:rStyle w:val="FootnoteReference"/>
        </w:rPr>
        <w:footnoteRef/>
      </w:r>
      <w:r>
        <w:t xml:space="preserve"> </w:t>
      </w:r>
      <w:r>
        <w:t xml:space="preserve">Mary P. Erickson,</w:t>
      </w:r>
      <w:r>
        <w:t xml:space="preserve"> </w:t>
      </w:r>
      <w:r>
        <w:t xml:space="preserve">“</w:t>
      </w:r>
      <w:r>
        <w:t xml:space="preserve">‘I Think I Still Qualify as a Slacker … Just One That’s Currently Lucky’</w:t>
      </w:r>
      <w:r>
        <w:t xml:space="preserve">: The Myths of</w:t>
      </w:r>
      <w:r>
        <w:t xml:space="preserve"> </w:t>
      </w:r>
      <w:r>
        <w:rPr>
          <w:i/>
          <w:iCs/>
        </w:rPr>
        <w:t xml:space="preserve">Slacker</w:t>
      </w:r>
      <w:r>
        <w:t xml:space="preserve">, Austin, and Richard Linklater,”</w:t>
      </w:r>
      <w:r>
        <w:t xml:space="preserve"> </w:t>
      </w:r>
      <w:r>
        <w:t xml:space="preserve">in</w:t>
      </w:r>
      <w:r>
        <w:t xml:space="preserve"> </w:t>
      </w:r>
      <w:r>
        <w:rPr>
          <w:i/>
          <w:iCs/>
        </w:rPr>
        <w:t xml:space="preserve">ReFocus: The Films of Richard Linklater</w:t>
      </w:r>
      <w:r>
        <w:t xml:space="preserve">, ed. Kim Wilkins and Timotheus Vermeulen (Edinburgh: Edinburgh University Press, 2022), 15–33; Joshua Long,</w:t>
      </w:r>
      <w:r>
        <w:t xml:space="preserve"> </w:t>
      </w:r>
      <w:r>
        <w:rPr>
          <w:i/>
          <w:iCs/>
        </w:rPr>
        <w:t xml:space="preserve">Weird City: Sense of Place and Creative Resistance in Austin, Texas</w:t>
      </w:r>
      <w:r>
        <w:t xml:space="preserve"> </w:t>
      </w:r>
      <w:r>
        <w:t xml:space="preserve">(Austin: University of Texas Press, 2010). The Long quotation was located by search inside an ebook edition and its page should be confirmed against print. Long’s subject is the enclosure of Austin’s weirdness in the 2000s rather than the ecology of 1990, so he stands as the later half of the story rather than as a witness to this one. See also Andrew Busch’s review essay in</w:t>
      </w:r>
      <w:r>
        <w:t xml:space="preserve"> </w:t>
      </w:r>
      <w:r>
        <w:rPr>
          <w:i/>
          <w:iCs/>
        </w:rPr>
        <w:t xml:space="preserve">American Quarterly</w:t>
      </w:r>
      <w:r>
        <w:t xml:space="preserve"> </w:t>
      </w:r>
      <w:r>
        <w:t xml:space="preserve">63, no. 2 (2011): 399–408, which faults Long for attending to middle-class South Austin while overlooking gentrification on the east side, a caveat that bears directly on who a reaching city reaches.</w:t>
      </w:r>
    </w:p>
  </w:footnote>
  <w:footnote w:id="30">
    <w:p>
      <w:pPr>
        <w:pStyle w:val="FootnoteText"/>
      </w:pPr>
      <w:r>
        <w:rPr>
          <w:rStyle w:val="FootnoteReference"/>
        </w:rPr>
        <w:footnoteRef/>
      </w:r>
      <w:r>
        <w:t xml:space="preserve"> </w:t>
      </w:r>
      <w:r>
        <w:t xml:space="preserve">The census and both codings are mine; the two coders’ full tables, with every disagreement preserved unresolved rather than reconciled by fiat, are available from the author. Cohen’s κ corrects raw agreement for the share expected by chance.</w:t>
      </w:r>
    </w:p>
  </w:footnote>
  <w:footnote w:id="31">
    <w:p>
      <w:pPr>
        <w:pStyle w:val="FootnoteText"/>
      </w:pPr>
      <w:r>
        <w:rPr>
          <w:rStyle w:val="FootnoteReference"/>
        </w:rPr>
        <w:footnoteRef/>
      </w:r>
      <w:r>
        <w:t xml:space="preserve"> </w:t>
      </w:r>
      <w:r>
        <w:t xml:space="preserve">The equivocal seams, by segment pair. At 5→6 the line at the seam falls on the far side of my segmentation’s boundary while the coders’ notes treat it as the earlier scene’s closing beat, and a transcript without speaker names cannot assign it [DISC:T2]. At 12→13 the reply at the seam answers a line the transcript never carries [DISC:T3]. At 13→14,</w:t>
      </w:r>
      <w:r>
        <w:t xml:space="preserve"> </w:t>
      </w:r>
      <w:r>
        <w:t xml:space="preserve">“They’re back”</w:t>
      </w:r>
      <w:r>
        <w:t xml:space="preserve"> </w:t>
      </w:r>
      <w:r>
        <w:t xml:space="preserve">names no referent anywhere in the dialogue [DISC:T4]. At 22→23 an object changes hands unnamed, and if it is the rare Marquis de Sade the burglars admire two lines later the seam is a bridge; if not it is bare, and this single case is what makes the figure a band rather than a number [DISC:T6]. At 34→35 the transcript simply ends, the final sequence having no dialogue, so this instrument can show neither a link nor its absence [DISC:T11]. Three pairs of segments share overlapping line ranges and several boundaries fall inside continuous exchanges, so a few codes describe where I drew a seam rather than where the film cut; they stay in the count, flagged, because deleting any of them would manufacture the point estimate the band exists to refuse. Two of the film’s neatest repetitions rest on exact subtitle wording and I argue from neither [DISC:T5].</w:t>
      </w:r>
    </w:p>
  </w:footnote>
  <w:footnote w:id="33">
    <w:p>
      <w:pPr>
        <w:pStyle w:val="FootnoteText"/>
      </w:pPr>
      <w:r>
        <w:rPr>
          <w:rStyle w:val="FootnoteReference"/>
        </w:rPr>
        <w:footnoteRef/>
      </w:r>
      <w:r>
        <w:t xml:space="preserve"> </w:t>
      </w:r>
      <w:r>
        <w:t xml:space="preserve">Amazon.com, Inc.,</w:t>
      </w:r>
      <w:r>
        <w:t xml:space="preserve"> </w:t>
      </w:r>
      <w:r>
        <w:t xml:space="preserve">“Prime Video Direct Content Providers: Licensing Consideration and Title Review,”</w:t>
      </w:r>
      <w:r>
        <w:t xml:space="preserve"> </w:t>
      </w:r>
      <w:r>
        <w:t xml:space="preserve">Prime Video Tech Docs, last updated August 5, 2025, a living page quoted as retrieved on August 1, 2026. The sentence carrying the phrase</w:t>
      </w:r>
      <w:r>
        <w:t xml:space="preserve"> </w:t>
      </w:r>
      <w:r>
        <w:t xml:space="preserve">“engagement standards”</w:t>
      </w:r>
      <w:r>
        <w:t xml:space="preserve"> </w:t>
      </w:r>
      <w:r>
        <w:t xml:space="preserve">and the words</w:t>
      </w:r>
      <w:r>
        <w:t xml:space="preserve"> </w:t>
      </w:r>
      <w:r>
        <w:t xml:space="preserve">“may be subject to removal”</w:t>
      </w:r>
      <w:r>
        <w:t xml:space="preserve"> </w:t>
      </w:r>
      <w:r>
        <w:t xml:space="preserve">follows the review sentence on the same page.</w:t>
      </w:r>
    </w:p>
  </w:footnote>
  <w:footnote w:id="34">
    <w:p>
      <w:pPr>
        <w:pStyle w:val="FootnoteText"/>
      </w:pPr>
      <w:r>
        <w:rPr>
          <w:rStyle w:val="FootnoteReference"/>
        </w:rPr>
        <w:footnoteRef/>
      </w:r>
      <w:r>
        <w:t xml:space="preserve"> </w:t>
      </w:r>
      <w:r>
        <w:t xml:space="preserve">Rideshare Drivers United and Asian Law Caucus,</w:t>
      </w:r>
      <w:r>
        <w:t xml:space="preserve"> </w:t>
      </w:r>
      <w:r>
        <w:rPr>
          <w:i/>
          <w:iCs/>
        </w:rPr>
        <w:t xml:space="preserve">Fired by an App: The Toll of Secret Algorithms and Unchecked Discrimination on California Rideshare Drivers</w:t>
      </w:r>
      <w:r>
        <w:t xml:space="preserve"> </w:t>
      </w:r>
      <w:r>
        <w:t xml:space="preserve">(report, February 2023), 15, 19. The two-thirds figure pools temporary suspension with permanent removal, and the thirty percent is of drivers who were deactivated rather than of all 810 surveyed. Recruitment ran through the union’s networks, two community organizations, and paid advertising; the report says of its own respondents that they</w:t>
      </w:r>
      <w:r>
        <w:t xml:space="preserve"> </w:t>
      </w:r>
      <w:r>
        <w:t xml:space="preserve">“may be more likely to be inclined to participate in a survey as a way of documenting or sharing their experience with deactivation.”</w:t>
      </w:r>
    </w:p>
  </w:footnote>
  <w:footnote w:id="35">
    <w:p>
      <w:pPr>
        <w:pStyle w:val="FootnoteText"/>
      </w:pPr>
      <w:r>
        <w:rPr>
          <w:rStyle w:val="FootnoteReference"/>
        </w:rPr>
        <w:footnoteRef/>
      </w:r>
      <w:r>
        <w:t xml:space="preserve"> </w:t>
      </w:r>
      <w:r>
        <w:t xml:space="preserve">The counterfactual is to restore a forbidden direct edge between a third party’s two neighbours and read whether the third stays in the coordination’s irreducible core. The results are in-silico throughout, run over stylized three-element Boolean models, and classify rather than measure.</w:t>
      </w:r>
    </w:p>
  </w:footnote>
  <w:footnote w:id="37">
    <w:p>
      <w:pPr>
        <w:pStyle w:val="FootnoteText"/>
      </w:pPr>
      <w:r>
        <w:rPr>
          <w:rStyle w:val="FootnoteReference"/>
        </w:rPr>
        <w:footnoteRef/>
      </w:r>
      <w:r>
        <w:t xml:space="preserve"> </w:t>
      </w:r>
      <w:r>
        <w:t xml:space="preserve">David Stark and Ivana Pais,</w:t>
      </w:r>
      <w:r>
        <w:t xml:space="preserve"> </w:t>
      </w:r>
      <w:r>
        <w:t xml:space="preserve">“Algorithmic Management in the Platform Economy,”</w:t>
      </w:r>
      <w:r>
        <w:t xml:space="preserve"> </w:t>
      </w:r>
      <w:r>
        <w:rPr>
          <w:i/>
          <w:iCs/>
        </w:rPr>
        <w:t xml:space="preserve">Sociologica</w:t>
      </w:r>
      <w:r>
        <w:t xml:space="preserve"> </w:t>
      </w:r>
      <w:r>
        <w:t xml:space="preserve">14, no. 3 (2020): 47–72, at 48 and 49:</w:t>
      </w:r>
      <w:r>
        <w:t xml:space="preserve"> </w:t>
      </w:r>
      <w:r>
        <w:t xml:space="preserve">“whereas for markets the verb is contract, the verb for hierarchy is command, and for networks it is collaborate. By contrast, platforms co-opt,”</w:t>
      </w:r>
      <w:r>
        <w:t xml:space="preserve"> </w:t>
      </w:r>
      <w:r>
        <w:t xml:space="preserve">and</w:t>
      </w:r>
      <w:r>
        <w:t xml:space="preserve"> </w:t>
      </w:r>
      <w:r>
        <w:t xml:space="preserve">“platform owners co-opt the behavior of providers and users, enrolling them in the practices of algorithmic management without managerial authority having been delegated to them.”</w:t>
      </w:r>
    </w:p>
  </w:footnote>
  <w:footnote w:id="40">
    <w:p>
      <w:pPr>
        <w:pStyle w:val="FootnoteText"/>
      </w:pPr>
      <w:r>
        <w:rPr>
          <w:rStyle w:val="FootnoteReference"/>
        </w:rPr>
        <w:footnoteRef/>
      </w:r>
      <w:r>
        <w:t xml:space="preserve"> </w:t>
      </w:r>
      <w:r>
        <w:t xml:space="preserve">Charles A. Reich,</w:t>
      </w:r>
      <w:r>
        <w:t xml:space="preserve"> </w:t>
      </w:r>
      <w:r>
        <w:t xml:space="preserve">“The New Property,”</w:t>
      </w:r>
      <w:r>
        <w:t xml:space="preserve"> </w:t>
      </w:r>
      <w:r>
        <w:rPr>
          <w:i/>
          <w:iCs/>
        </w:rPr>
        <w:t xml:space="preserve">Yale Law Journal</w:t>
      </w:r>
      <w:r>
        <w:t xml:space="preserve"> </w:t>
      </w:r>
      <w:r>
        <w:t xml:space="preserve">73, no. 5 (1964): 733–787.</w:t>
      </w:r>
    </w:p>
  </w:footnote>
  <w:footnote w:id="41">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741.</w:t>
      </w:r>
    </w:p>
  </w:footnote>
  <w:footnote w:id="42">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783.</w:t>
      </w:r>
    </w:p>
  </w:footnote>
  <w:footnote w:id="43">
    <w:p>
      <w:pPr>
        <w:pStyle w:val="FootnoteText"/>
      </w:pPr>
      <w:r>
        <w:rPr>
          <w:rStyle w:val="FootnoteReference"/>
        </w:rPr>
        <w:footnoteRef/>
      </w:r>
      <w:r>
        <w:t xml:space="preserve"> </w:t>
      </w:r>
      <w:r>
        <w:t xml:space="preserve">Reich,</w:t>
      </w:r>
      <w:r>
        <w:t xml:space="preserve"> </w:t>
      </w:r>
      <w:r>
        <w:t xml:space="preserve">“The New Property,”</w:t>
      </w:r>
      <w:r>
        <w:t xml:space="preserve"> </w:t>
      </w:r>
      <w:r>
        <w:t xml:space="preserve">786:</w:t>
      </w:r>
      <w:r>
        <w:t xml:space="preserve"> </w:t>
      </w:r>
      <w:r>
        <w:t xml:space="preserve">“There are many other new forms of wealth: franchises in private businesses, equities in corporations, the right to receive privately furnished utilities and services, status in private organizations. These too may need added safeguards in the future.”</w:t>
      </w:r>
    </w:p>
  </w:footnote>
  <w:footnote w:id="44">
    <w:p>
      <w:pPr>
        <w:pStyle w:val="FootnoteText"/>
      </w:pPr>
      <w:r>
        <w:rPr>
          <w:rStyle w:val="FootnoteReference"/>
        </w:rPr>
        <w:footnoteRef/>
      </w:r>
      <w:r>
        <w:t xml:space="preserve"> </w:t>
      </w:r>
      <w:r>
        <w:t xml:space="preserve">Foreign Exchange Committee, Federal Reserve Bank of New York,</w:t>
      </w:r>
      <w:r>
        <w:t xml:space="preserve"> </w:t>
      </w:r>
      <w:r>
        <w:rPr>
          <w:i/>
          <w:iCs/>
        </w:rPr>
        <w:t xml:space="preserve">Annual Report 1991</w:t>
      </w:r>
      <w:r>
        <w:t xml:space="preserve">, 8, which describes the then-planned electronic broking systems as under development in November 1991. Reuters Dealing 2000-2 opened in 1992; EBS launched in September 1993, following a funding decision in January 1990 and a formal partnership in May 1992. The film’s Dobie run was in 1990 and its New York opening on 5 July 1991, so the venues follow the film by one to three years rather than accompanying it.</w:t>
      </w:r>
    </w:p>
  </w:footnote>
  <w:footnote w:id="45">
    <w:p>
      <w:pPr>
        <w:pStyle w:val="FootnoteText"/>
      </w:pPr>
      <w:r>
        <w:rPr>
          <w:rStyle w:val="FootnoteReference"/>
        </w:rPr>
        <w:footnoteRef/>
      </w:r>
      <w:r>
        <w:t xml:space="preserve"> </w:t>
      </w:r>
      <w:r>
        <w:t xml:space="preserve">Bank for International Settlements,</w:t>
      </w:r>
      <w:r>
        <w:t xml:space="preserve"> </w:t>
      </w:r>
      <w:r>
        <w:rPr>
          <w:i/>
          <w:iCs/>
        </w:rPr>
        <w:t xml:space="preserve">Quarterly Review</w:t>
      </w:r>
      <w:r>
        <w:t xml:space="preserve">, December 2019, 41–42:</w:t>
      </w:r>
      <w:r>
        <w:t xml:space="preserve"> </w:t>
      </w:r>
      <w:r>
        <w:t xml:space="preserve">“</w:t>
      </w:r>
      <w:r>
        <w:t xml:space="preserve">‘Indirect’</w:t>
      </w:r>
      <w:r>
        <w:t xml:space="preserve"> </w:t>
      </w:r>
      <w:r>
        <w:t xml:space="preserve">refers to the involvement of a third party in the matching process. This can, for instance, be a traditional voice broker, an electronic broking platform or a multi-bank platform.”</w:t>
      </w:r>
      <w:r>
        <w:t xml:space="preserve"> </w:t>
      </w:r>
      <w:r>
        <w:t xml:space="preserve">The venues say the same from inside:</w:t>
      </w:r>
      <w:r>
        <w:t xml:space="preserve"> </w:t>
      </w:r>
      <w:r>
        <w:rPr>
          <w:i/>
          <w:iCs/>
        </w:rPr>
        <w:t xml:space="preserve">LSEG FX UK MTF Rule Book</w:t>
      </w:r>
      <w:r>
        <w:t xml:space="preserve">, v1.2, effective 1 December 2025, Rule 1.1.4, 13,</w:t>
      </w:r>
      <w:r>
        <w:t xml:space="preserve"> </w:t>
      </w:r>
      <w:r>
        <w:t xml:space="preserve">“LSEG is not a party to … Transactions conducted on the Platform. Payment and settlement … are the sole responsibility of the two Participants concerned,”</w:t>
      </w:r>
      <w:r>
        <w:t xml:space="preserve"> </w:t>
      </w:r>
      <w:r>
        <w:t xml:space="preserve">and</w:t>
      </w:r>
      <w:r>
        <w:t xml:space="preserve"> </w:t>
      </w:r>
      <w:r>
        <w:rPr>
          <w:i/>
          <w:iCs/>
        </w:rPr>
        <w:t xml:space="preserve">EBS MTF Rulebook</w:t>
      </w:r>
      <w:r>
        <w:t xml:space="preserve">, Rule 2.9, 6,</w:t>
      </w:r>
      <w:r>
        <w:t xml:space="preserve"> </w:t>
      </w:r>
      <w:r>
        <w:t xml:space="preserve">“The Operator is not a party to any Transaction.”</w:t>
      </w:r>
    </w:p>
  </w:footnote>
  <w:footnote w:id="46">
    <w:p>
      <w:pPr>
        <w:pStyle w:val="FootnoteText"/>
      </w:pPr>
      <w:r>
        <w:rPr>
          <w:rStyle w:val="FootnoteReference"/>
        </w:rPr>
        <w:footnoteRef/>
      </w:r>
      <w:r>
        <w:t xml:space="preserve"> </w:t>
      </w:r>
      <w:r>
        <w:t xml:space="preserve">The tipping is attributed to network externalities in the central-bank literature of the period and produced one dominant venue per currency pair rather than one worldwide, with EBS and Reuters splitting the major pairs between them.</w:t>
      </w:r>
    </w:p>
  </w:footnote>
  <w:footnote w:id="47">
    <w:p>
      <w:pPr>
        <w:pStyle w:val="FootnoteText"/>
      </w:pPr>
      <w:r>
        <w:rPr>
          <w:rStyle w:val="FootnoteReference"/>
        </w:rPr>
        <w:footnoteRef/>
      </w:r>
      <w:r>
        <w:t xml:space="preserve"> </w:t>
      </w:r>
      <w:r>
        <w:rPr>
          <w:i/>
          <w:iCs/>
        </w:rPr>
        <w:t xml:space="preserve">LSEG FX SEF Rulebook</w:t>
      </w:r>
      <w:r>
        <w:t xml:space="preserve">, v4.1, effective 11 August 2026, Rules 302(g)–(h), at 31, which oblige written reasons within fourteen days and provide for reconsideration;</w:t>
      </w:r>
      <w:r>
        <w:t xml:space="preserve"> </w:t>
      </w:r>
      <w:r>
        <w:rPr>
          <w:i/>
          <w:iCs/>
        </w:rPr>
        <w:t xml:space="preserve">LSEG FX UK MTF Rule Book</w:t>
      </w:r>
      <w:r>
        <w:t xml:space="preserve">, v1.2, Rule 3.1.5, at 21, permitting revocation, suspension, or restriction of access</w:t>
      </w:r>
      <w:r>
        <w:t xml:space="preserve"> </w:t>
      </w:r>
      <w:r>
        <w:t xml:space="preserve">“in the sole discretion of LSEG,”</w:t>
      </w:r>
      <w:r>
        <w:t xml:space="preserve"> </w:t>
      </w:r>
      <w:r>
        <w:t xml:space="preserve">qualified at Rule 5.1.4, at 27, only by an endeavour to give prior written notice</w:t>
      </w:r>
      <w:r>
        <w:t xml:space="preserve"> </w:t>
      </w:r>
      <w:r>
        <w:t xml:space="preserve">“to the extent it is reasonably able to.”</w:t>
      </w:r>
      <w:r>
        <w:t xml:space="preserve"> </w:t>
      </w:r>
      <w:r>
        <w:t xml:space="preserve">The FX Global Code (updated December 2024), Principle 9, obliges a platform to be transparent about how it handles an order and is silent on how it handles a party.</w:t>
      </w:r>
    </w:p>
  </w:footnote>
  <w:footnote w:id="49">
    <w:p>
      <w:pPr>
        <w:pStyle w:val="FootnoteText"/>
      </w:pPr>
      <w:r>
        <w:rPr>
          <w:rStyle w:val="FootnoteReference"/>
        </w:rPr>
        <w:footnoteRef/>
      </w:r>
      <w:r>
        <w:t xml:space="preserve"> </w:t>
      </w:r>
      <w:r>
        <w:t xml:space="preserve">The construct and its three dimensions are developed in a companion paper by the author. The definition quoted here is its own.</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480" w:lineRule="auto"/>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line="480" w:lineRule="auto"/>
      <w:outlineLvl w:val="1"/>
    </w:pPr>
    <w:rPr>
      <w:rFonts w:ascii="Times New Roman" w:asciiTheme="majorHAnsi" w:cs="Times New Roman"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line="480" w:lineRule="auto"/>
      <w:outlineLvl w:val="2"/>
    </w:pPr>
    <w:rPr>
      <w:rFonts w:ascii="Times New Roman" w:asciiTheme="majorHAnsi" w:cs="Times New Roman"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2026-08-11T19:23:45Z</dcterms:created>
  <dcterms:modified xsi:type="dcterms:W3CDTF">2026-08-11T19:23:45Z</dcterms:modified>
</cp:coreProperties>
</file>

<file path=docProps/custom.xml><?xml version="1.0" encoding="utf-8"?>
<Properties xmlns="http://schemas.openxmlformats.org/officeDocument/2006/custom-properties" xmlns:vt="http://schemas.openxmlformats.org/officeDocument/2006/docPropsVTypes"/>
</file>